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12C" w:rsidRPr="009F2F07" w:rsidRDefault="00F4712C" w:rsidP="005749DF">
      <w:pPr>
        <w:tabs>
          <w:tab w:val="left" w:pos="1276"/>
        </w:tabs>
        <w:spacing w:after="200" w:line="320" w:lineRule="exact"/>
        <w:jc w:val="center"/>
        <w:rPr>
          <w:rFonts w:ascii="Times New Roman" w:eastAsia="Times New Roman" w:hAnsi="Times New Roman" w:cs="Times New Roman"/>
          <w:b/>
          <w:sz w:val="24"/>
          <w:lang w:eastAsia="en-GB"/>
        </w:rPr>
      </w:pPr>
      <w:bookmarkStart w:id="0" w:name="do|ax1|caV|si3|ar33|pa1"/>
      <w:bookmarkStart w:id="1" w:name="_GoBack"/>
      <w:bookmarkEnd w:id="0"/>
      <w:r w:rsidRPr="009F2F07">
        <w:rPr>
          <w:rFonts w:ascii="Times New Roman" w:eastAsia="Times New Roman" w:hAnsi="Times New Roman" w:cs="Times New Roman"/>
          <w:b/>
          <w:sz w:val="24"/>
          <w:lang w:eastAsia="en-GB"/>
        </w:rPr>
        <w:t>Modalities for measuring, invoicing, invoice content and mean of payment</w:t>
      </w:r>
    </w:p>
    <w:p w:rsidR="00F4712C" w:rsidRPr="009F2F07" w:rsidRDefault="00F4712C" w:rsidP="00F4712C">
      <w:pPr>
        <w:spacing w:after="200" w:line="320" w:lineRule="exact"/>
        <w:jc w:val="center"/>
        <w:rPr>
          <w:rFonts w:ascii="Times New Roman" w:eastAsia="Times New Roman" w:hAnsi="Times New Roman" w:cs="Times New Roman"/>
          <w:b/>
          <w:sz w:val="24"/>
          <w:lang w:eastAsia="en-GB"/>
        </w:rPr>
      </w:pPr>
    </w:p>
    <w:p w:rsidR="002F79F9" w:rsidRPr="009F2F07" w:rsidRDefault="002F79F9" w:rsidP="009A7C62">
      <w:pPr>
        <w:spacing w:after="200" w:line="320" w:lineRule="exact"/>
        <w:jc w:val="both"/>
        <w:rPr>
          <w:rFonts w:ascii="Times New Roman" w:eastAsia="Times New Roman" w:hAnsi="Times New Roman" w:cs="Times New Roman"/>
          <w:b/>
          <w:u w:val="single"/>
          <w:lang w:eastAsia="en-GB"/>
        </w:rPr>
      </w:pPr>
      <w:r w:rsidRPr="009F2F07">
        <w:rPr>
          <w:rFonts w:ascii="Times New Roman" w:eastAsia="Times New Roman" w:hAnsi="Times New Roman" w:cs="Times New Roman"/>
          <w:b/>
          <w:u w:val="single"/>
          <w:lang w:eastAsia="en-GB"/>
        </w:rPr>
        <w:t>In accordance with the provisions of Order 29/2016, below are presented the general principles on invoicing and how to determine the consumption of natural gas:</w:t>
      </w:r>
    </w:p>
    <w:p w:rsidR="00913D63" w:rsidRPr="009F2F07" w:rsidRDefault="00393440" w:rsidP="007134A6">
      <w:pPr>
        <w:pStyle w:val="ListParagraph"/>
        <w:numPr>
          <w:ilvl w:val="0"/>
          <w:numId w:val="1"/>
        </w:numPr>
        <w:spacing w:after="200" w:line="320" w:lineRule="exact"/>
        <w:jc w:val="both"/>
        <w:rPr>
          <w:rFonts w:ascii="Times New Roman" w:eastAsia="Times New Roman" w:hAnsi="Times New Roman" w:cs="Times New Roman"/>
          <w:b/>
          <w:u w:val="single"/>
          <w:lang w:eastAsia="en-GB"/>
        </w:rPr>
      </w:pPr>
      <w:r w:rsidRPr="009F2F07">
        <w:rPr>
          <w:rFonts w:ascii="Times New Roman" w:eastAsia="Times New Roman" w:hAnsi="Times New Roman" w:cs="Times New Roman"/>
          <w:b/>
          <w:u w:val="single"/>
          <w:lang w:eastAsia="en-GB"/>
        </w:rPr>
        <w:t xml:space="preserve">The way to determinate the natural gas </w:t>
      </w:r>
      <w:r w:rsidR="00B9359F" w:rsidRPr="009F2F07">
        <w:rPr>
          <w:rFonts w:ascii="Times New Roman" w:eastAsia="Times New Roman" w:hAnsi="Times New Roman" w:cs="Times New Roman"/>
          <w:b/>
          <w:u w:val="single"/>
          <w:lang w:eastAsia="en-GB"/>
        </w:rPr>
        <w:t>consumption</w:t>
      </w:r>
      <w:r w:rsidRPr="009F2F07">
        <w:rPr>
          <w:rFonts w:ascii="Times New Roman" w:eastAsia="Times New Roman" w:hAnsi="Times New Roman" w:cs="Times New Roman"/>
          <w:b/>
          <w:u w:val="single"/>
          <w:lang w:eastAsia="en-GB"/>
        </w:rPr>
        <w:t xml:space="preserve"> for a </w:t>
      </w:r>
      <w:r w:rsidR="00B9359F" w:rsidRPr="009F2F07">
        <w:rPr>
          <w:rFonts w:ascii="Times New Roman" w:eastAsia="Times New Roman" w:hAnsi="Times New Roman" w:cs="Times New Roman"/>
          <w:b/>
          <w:u w:val="single"/>
          <w:lang w:eastAsia="en-GB"/>
        </w:rPr>
        <w:t>billing</w:t>
      </w:r>
      <w:r w:rsidRPr="009F2F07">
        <w:rPr>
          <w:rFonts w:ascii="Times New Roman" w:eastAsia="Times New Roman" w:hAnsi="Times New Roman" w:cs="Times New Roman"/>
          <w:b/>
          <w:u w:val="single"/>
          <w:lang w:eastAsia="en-GB"/>
        </w:rPr>
        <w:t xml:space="preserve"> period</w:t>
      </w:r>
    </w:p>
    <w:p w:rsidR="00913D63" w:rsidRPr="009F2F07" w:rsidRDefault="00393440"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 xml:space="preserve">The determination of natural gas consumption, expressed in unit of energy, representing the amount of energy supplied for the billing period, is achieved by multiplying the quantity of natural gas, expressed in cubic meters, </w:t>
      </w:r>
      <w:r w:rsidR="00B9359F" w:rsidRPr="009F2F07">
        <w:rPr>
          <w:rFonts w:ascii="Times New Roman" w:eastAsia="Times New Roman" w:hAnsi="Times New Roman" w:cs="Times New Roman"/>
          <w:lang w:eastAsia="en-GB"/>
        </w:rPr>
        <w:t>for</w:t>
      </w:r>
      <w:r w:rsidRPr="009F2F07">
        <w:rPr>
          <w:rFonts w:ascii="Times New Roman" w:eastAsia="Times New Roman" w:hAnsi="Times New Roman" w:cs="Times New Roman"/>
          <w:lang w:eastAsia="en-GB"/>
        </w:rPr>
        <w:t xml:space="preserve"> the billing period, with its higher calorific value, for the period </w:t>
      </w:r>
      <w:r w:rsidR="00B9359F" w:rsidRPr="009F2F07">
        <w:rPr>
          <w:rFonts w:ascii="Times New Roman" w:eastAsia="Times New Roman" w:hAnsi="Times New Roman" w:cs="Times New Roman"/>
          <w:lang w:eastAsia="en-GB"/>
        </w:rPr>
        <w:t>billing</w:t>
      </w:r>
      <w:r w:rsidRPr="009F2F07">
        <w:rPr>
          <w:rFonts w:ascii="Times New Roman" w:eastAsia="Times New Roman" w:hAnsi="Times New Roman" w:cs="Times New Roman"/>
          <w:lang w:eastAsia="en-GB"/>
        </w:rPr>
        <w:t xml:space="preserve">, in accordance with the provisions of the measurement regulation approved </w:t>
      </w:r>
      <w:r w:rsidR="00B9359F" w:rsidRPr="009F2F07">
        <w:rPr>
          <w:rFonts w:ascii="Times New Roman" w:eastAsia="Times New Roman" w:hAnsi="Times New Roman" w:cs="Times New Roman"/>
          <w:lang w:eastAsia="en-GB"/>
        </w:rPr>
        <w:t>by</w:t>
      </w:r>
      <w:r w:rsidRPr="009F2F07">
        <w:rPr>
          <w:rFonts w:ascii="Times New Roman" w:eastAsia="Times New Roman" w:hAnsi="Times New Roman" w:cs="Times New Roman"/>
          <w:lang w:eastAsia="en-GB"/>
        </w:rPr>
        <w:t xml:space="preserve"> ANRE.</w:t>
      </w:r>
      <w:bookmarkStart w:id="2" w:name="do|ax1|caV|si3|ar34|pa1"/>
      <w:bookmarkEnd w:id="2"/>
    </w:p>
    <w:p w:rsidR="00913D63" w:rsidRPr="009F2F07" w:rsidRDefault="00393440"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 xml:space="preserve">The quantity of natural gas supplied to end customer shall be measured by the </w:t>
      </w:r>
      <w:r w:rsidR="00B9359F" w:rsidRPr="009F2F07">
        <w:rPr>
          <w:rFonts w:ascii="Times New Roman" w:eastAsia="Times New Roman" w:hAnsi="Times New Roman" w:cs="Times New Roman"/>
          <w:lang w:eastAsia="en-GB"/>
        </w:rPr>
        <w:t>measuring</w:t>
      </w:r>
      <w:r w:rsidRPr="009F2F07">
        <w:rPr>
          <w:rFonts w:ascii="Times New Roman" w:eastAsia="Times New Roman" w:hAnsi="Times New Roman" w:cs="Times New Roman"/>
          <w:lang w:eastAsia="en-GB"/>
        </w:rPr>
        <w:t xml:space="preserve"> </w:t>
      </w:r>
      <w:r w:rsidR="00B9359F" w:rsidRPr="009F2F07">
        <w:rPr>
          <w:rFonts w:ascii="Times New Roman" w:eastAsia="Times New Roman" w:hAnsi="Times New Roman" w:cs="Times New Roman"/>
          <w:lang w:eastAsia="en-GB"/>
        </w:rPr>
        <w:t>equipment</w:t>
      </w:r>
      <w:r w:rsidRPr="009F2F07">
        <w:rPr>
          <w:rFonts w:ascii="Times New Roman" w:eastAsia="Times New Roman" w:hAnsi="Times New Roman" w:cs="Times New Roman"/>
          <w:lang w:eastAsia="en-GB"/>
        </w:rPr>
        <w:t xml:space="preserve"> by the operator of the pipeline/system to which the place of consumption is connected in </w:t>
      </w:r>
      <w:r w:rsidR="00B9359F" w:rsidRPr="009F2F07">
        <w:rPr>
          <w:rFonts w:ascii="Times New Roman" w:eastAsia="Times New Roman" w:hAnsi="Times New Roman" w:cs="Times New Roman"/>
          <w:lang w:eastAsia="en-GB"/>
        </w:rPr>
        <w:t>accordance</w:t>
      </w:r>
      <w:r w:rsidRPr="009F2F07">
        <w:rPr>
          <w:rFonts w:ascii="Times New Roman" w:eastAsia="Times New Roman" w:hAnsi="Times New Roman" w:cs="Times New Roman"/>
          <w:lang w:eastAsia="en-GB"/>
        </w:rPr>
        <w:t xml:space="preserve"> with the provisions of the measuring regulation approved by ANRE; if the </w:t>
      </w:r>
      <w:r w:rsidR="00B9359F" w:rsidRPr="009F2F07">
        <w:rPr>
          <w:rFonts w:ascii="Times New Roman" w:eastAsia="Times New Roman" w:hAnsi="Times New Roman" w:cs="Times New Roman"/>
          <w:lang w:eastAsia="en-GB"/>
        </w:rPr>
        <w:t>malfunctioning</w:t>
      </w:r>
      <w:r w:rsidRPr="009F2F07">
        <w:rPr>
          <w:rFonts w:ascii="Times New Roman" w:eastAsia="Times New Roman" w:hAnsi="Times New Roman" w:cs="Times New Roman"/>
          <w:lang w:eastAsia="en-GB"/>
        </w:rPr>
        <w:t xml:space="preserve"> of the measuring equipment is found, the quantity of natural gas supplied at the place of consumption is recalculated according to the legislation in force.</w:t>
      </w:r>
      <w:bookmarkStart w:id="3" w:name="do|ax1|caV|si3|ar35|al1"/>
      <w:bookmarkEnd w:id="3"/>
    </w:p>
    <w:p w:rsidR="00C21640" w:rsidRPr="009F2F07" w:rsidRDefault="00393440"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 xml:space="preserve">In order to determine the </w:t>
      </w:r>
      <w:r w:rsidR="00C21640" w:rsidRPr="009F2F07">
        <w:rPr>
          <w:rFonts w:ascii="Times New Roman" w:eastAsia="Times New Roman" w:hAnsi="Times New Roman" w:cs="Times New Roman"/>
          <w:lang w:eastAsia="en-GB"/>
        </w:rPr>
        <w:t xml:space="preserve">quantity of natural gas supplied to the end customer for the purpose of issuing the invoice based in the effective consumption, the operator of the pipeline/system to which the customer`s </w:t>
      </w:r>
      <w:r w:rsidR="00B9359F" w:rsidRPr="009F2F07">
        <w:rPr>
          <w:rFonts w:ascii="Times New Roman" w:eastAsia="Times New Roman" w:hAnsi="Times New Roman" w:cs="Times New Roman"/>
          <w:lang w:eastAsia="en-GB"/>
        </w:rPr>
        <w:t>consumption</w:t>
      </w:r>
      <w:r w:rsidR="00C21640" w:rsidRPr="009F2F07">
        <w:rPr>
          <w:rFonts w:ascii="Times New Roman" w:eastAsia="Times New Roman" w:hAnsi="Times New Roman" w:cs="Times New Roman"/>
          <w:lang w:eastAsia="en-GB"/>
        </w:rPr>
        <w:t xml:space="preserve"> place is connected has the obligation t</w:t>
      </w:r>
      <w:r w:rsidR="00B9359F" w:rsidRPr="009F2F07">
        <w:rPr>
          <w:rFonts w:ascii="Times New Roman" w:eastAsia="Times New Roman" w:hAnsi="Times New Roman" w:cs="Times New Roman"/>
          <w:lang w:eastAsia="en-GB"/>
        </w:rPr>
        <w:t>o</w:t>
      </w:r>
      <w:r w:rsidR="00C21640" w:rsidRPr="009F2F07">
        <w:rPr>
          <w:rFonts w:ascii="Times New Roman" w:eastAsia="Times New Roman" w:hAnsi="Times New Roman" w:cs="Times New Roman"/>
          <w:lang w:eastAsia="en-GB"/>
        </w:rPr>
        <w:t xml:space="preserve"> read the index of the measuring equipment at specified intervals, with the </w:t>
      </w:r>
      <w:r w:rsidR="00B9359F" w:rsidRPr="009F2F07">
        <w:rPr>
          <w:rFonts w:ascii="Times New Roman" w:eastAsia="Times New Roman" w:hAnsi="Times New Roman" w:cs="Times New Roman"/>
          <w:lang w:eastAsia="en-GB"/>
        </w:rPr>
        <w:t>compliance</w:t>
      </w:r>
      <w:r w:rsidR="00C21640" w:rsidRPr="009F2F07">
        <w:rPr>
          <w:rFonts w:ascii="Times New Roman" w:eastAsia="Times New Roman" w:hAnsi="Times New Roman" w:cs="Times New Roman"/>
          <w:lang w:eastAsia="en-GB"/>
        </w:rPr>
        <w:t xml:space="preserve"> of the following principles: </w:t>
      </w:r>
      <w:bookmarkStart w:id="4" w:name="do|ax1|caV|si3|ar35|al1|lia"/>
      <w:bookmarkEnd w:id="4"/>
    </w:p>
    <w:p w:rsidR="00913D63" w:rsidRPr="009F2F07" w:rsidRDefault="00913D63"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a)</w:t>
      </w:r>
      <w:r w:rsidR="00B9359F" w:rsidRPr="009F2F07">
        <w:rPr>
          <w:rFonts w:ascii="Times New Roman" w:eastAsia="Times New Roman" w:hAnsi="Times New Roman" w:cs="Times New Roman"/>
          <w:lang w:eastAsia="en-GB"/>
        </w:rPr>
        <w:t xml:space="preserve"> the reading interval of the measuring equipment index set by the operator for determining the quantity of natural gas supplied to a household customer shall not exceed 3 months;</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 w:name="do|ax1|caV|si3|ar35|al1|lib"/>
      <w:bookmarkEnd w:id="5"/>
      <w:r w:rsidRPr="009F2F07">
        <w:rPr>
          <w:rFonts w:ascii="Times New Roman" w:eastAsia="Times New Roman" w:hAnsi="Times New Roman" w:cs="Times New Roman"/>
          <w:lang w:eastAsia="en-GB"/>
        </w:rPr>
        <w:t>b)</w:t>
      </w:r>
      <w:bookmarkStart w:id="6" w:name="do|ax1|caV|si3|ar35|al2"/>
      <w:bookmarkEnd w:id="6"/>
      <w:r w:rsidR="00B9359F" w:rsidRPr="009F2F07">
        <w:rPr>
          <w:rFonts w:ascii="Times New Roman" w:eastAsia="Times New Roman" w:hAnsi="Times New Roman" w:cs="Times New Roman"/>
          <w:lang w:eastAsia="en-GB"/>
        </w:rPr>
        <w:t xml:space="preserve"> the reading interval of the measuring equipment index set by the operator to determine the quantity of natural gas supplied to a non-household customer shall not exceed 6 months;</w:t>
      </w:r>
    </w:p>
    <w:p w:rsidR="00913D63" w:rsidRPr="009F2F07" w:rsidRDefault="00B9359F" w:rsidP="009A7C62">
      <w:pPr>
        <w:spacing w:after="200" w:line="320" w:lineRule="exact"/>
        <w:jc w:val="both"/>
        <w:rPr>
          <w:rFonts w:ascii="Times New Roman" w:eastAsia="Times New Roman" w:hAnsi="Times New Roman" w:cs="Times New Roman"/>
          <w:lang w:eastAsia="en-GB"/>
        </w:rPr>
      </w:pPr>
      <w:bookmarkStart w:id="7" w:name="do|ax1|caV|si3|ar36|al1"/>
      <w:bookmarkEnd w:id="7"/>
      <w:r w:rsidRPr="009F2F07">
        <w:rPr>
          <w:rFonts w:ascii="Times New Roman" w:eastAsia="Times New Roman" w:hAnsi="Times New Roman" w:cs="Times New Roman"/>
          <w:lang w:eastAsia="en-GB"/>
        </w:rPr>
        <w:t>The quantity of natural gas, expressed in mc, corresponding to the interval between two consecutive operator readings is determined by the difference between the newly read index at the end of the reading interval and the old index read at the end of the previous reading interval.</w:t>
      </w:r>
    </w:p>
    <w:p w:rsidR="00913D63" w:rsidRPr="009F2F07" w:rsidRDefault="00B9359F" w:rsidP="009A7C62">
      <w:pPr>
        <w:spacing w:after="200" w:line="320" w:lineRule="exact"/>
        <w:jc w:val="both"/>
        <w:rPr>
          <w:rFonts w:ascii="Times New Roman" w:eastAsia="Times New Roman" w:hAnsi="Times New Roman" w:cs="Times New Roman"/>
          <w:lang w:eastAsia="en-GB"/>
        </w:rPr>
      </w:pPr>
      <w:bookmarkStart w:id="8" w:name="do|ax1|caV|si3|ar36|al2"/>
      <w:bookmarkEnd w:id="8"/>
      <w:r w:rsidRPr="009F2F07">
        <w:rPr>
          <w:rFonts w:ascii="Times New Roman" w:eastAsia="Times New Roman" w:hAnsi="Times New Roman" w:cs="Times New Roman"/>
          <w:lang w:eastAsia="en-GB"/>
        </w:rPr>
        <w:t>For the billing period in which the operator performs the reading of the measuring equipment index, invoicing is based on actual gas consumption, determined by the operator and taken over by the supplier.</w:t>
      </w:r>
    </w:p>
    <w:p w:rsidR="00913D63" w:rsidRPr="009F2F07" w:rsidRDefault="00B9359F"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If the reading interval of the operator is higher than the billing period provided within the gas supply contract, the billing in the period between two consecutive readings shall be made, as appropriate: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9" w:name="do|ax1|caV|si3|ar36|al2|lia"/>
      <w:bookmarkEnd w:id="9"/>
      <w:r w:rsidRPr="009F2F07">
        <w:rPr>
          <w:rFonts w:ascii="Times New Roman" w:eastAsia="Times New Roman" w:hAnsi="Times New Roman" w:cs="Times New Roman"/>
          <w:lang w:eastAsia="en-GB"/>
        </w:rPr>
        <w:t>a)</w:t>
      </w:r>
      <w:r w:rsidR="00B9359F" w:rsidRPr="009F2F07">
        <w:rPr>
          <w:rFonts w:ascii="Times New Roman" w:eastAsia="Times New Roman" w:hAnsi="Times New Roman" w:cs="Times New Roman"/>
          <w:lang w:eastAsia="en-GB"/>
        </w:rPr>
        <w:t xml:space="preserve"> on the basis of the effective consumption of natural gas, determined by </w:t>
      </w:r>
      <w:bookmarkStart w:id="10" w:name="_Hlk496614963"/>
      <w:r w:rsidR="00B9359F" w:rsidRPr="009F2F07">
        <w:rPr>
          <w:rFonts w:ascii="Times New Roman" w:eastAsia="Times New Roman" w:hAnsi="Times New Roman" w:cs="Times New Roman"/>
          <w:lang w:eastAsia="en-GB"/>
        </w:rPr>
        <w:t>self-</w:t>
      </w:r>
      <w:r w:rsidR="0065685A" w:rsidRPr="009F2F07">
        <w:rPr>
          <w:rFonts w:ascii="Times New Roman" w:eastAsia="Times New Roman" w:hAnsi="Times New Roman" w:cs="Times New Roman"/>
          <w:lang w:eastAsia="en-GB"/>
        </w:rPr>
        <w:t>reading</w:t>
      </w:r>
      <w:r w:rsidR="00B9359F" w:rsidRPr="009F2F07">
        <w:rPr>
          <w:rFonts w:ascii="Times New Roman" w:eastAsia="Times New Roman" w:hAnsi="Times New Roman" w:cs="Times New Roman"/>
          <w:lang w:eastAsia="en-GB"/>
        </w:rPr>
        <w:t xml:space="preserve"> </w:t>
      </w:r>
      <w:bookmarkEnd w:id="10"/>
      <w:r w:rsidR="00B9359F" w:rsidRPr="009F2F07">
        <w:rPr>
          <w:rFonts w:ascii="Times New Roman" w:eastAsia="Times New Roman" w:hAnsi="Times New Roman" w:cs="Times New Roman"/>
          <w:lang w:eastAsia="en-GB"/>
        </w:rPr>
        <w:t>of the measuring equipment by the end customer and its transmission within the time an</w:t>
      </w:r>
      <w:r w:rsidR="00A103A4" w:rsidRPr="009F2F07">
        <w:rPr>
          <w:rFonts w:ascii="Times New Roman" w:eastAsia="Times New Roman" w:hAnsi="Times New Roman" w:cs="Times New Roman"/>
          <w:lang w:eastAsia="en-GB"/>
        </w:rPr>
        <w:t>d</w:t>
      </w:r>
      <w:r w:rsidR="00B9359F" w:rsidRPr="009F2F07">
        <w:rPr>
          <w:rFonts w:ascii="Times New Roman" w:eastAsia="Times New Roman" w:hAnsi="Times New Roman" w:cs="Times New Roman"/>
          <w:lang w:eastAsia="en-GB"/>
        </w:rPr>
        <w:t xml:space="preserve"> conditions communicated by the supplier;</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11" w:name="do|ax1|caV|si3|ar36|al2|lib"/>
      <w:bookmarkEnd w:id="11"/>
      <w:r w:rsidRPr="009F2F07">
        <w:rPr>
          <w:rFonts w:ascii="Times New Roman" w:eastAsia="Times New Roman" w:hAnsi="Times New Roman" w:cs="Times New Roman"/>
          <w:lang w:eastAsia="en-GB"/>
        </w:rPr>
        <w:t>b)</w:t>
      </w:r>
      <w:bookmarkStart w:id="12" w:name="do|ax1|caV|si3|ar36|al3"/>
      <w:bookmarkEnd w:id="12"/>
      <w:r w:rsidR="00B9359F" w:rsidRPr="009F2F07">
        <w:rPr>
          <w:rFonts w:ascii="Times New Roman" w:eastAsia="Times New Roman" w:hAnsi="Times New Roman" w:cs="Times New Roman"/>
          <w:lang w:eastAsia="en-GB"/>
        </w:rPr>
        <w:t xml:space="preserve"> on the basis of an estimated natural gas consumption, provided in a convention agreed by the parties at the conclusion of the natural gas supply contract, which is taken only if the end customer does not transmit the </w:t>
      </w:r>
      <w:r w:rsidR="0046787C" w:rsidRPr="009F2F07">
        <w:rPr>
          <w:rFonts w:ascii="Times New Roman" w:eastAsia="Times New Roman" w:hAnsi="Times New Roman" w:cs="Times New Roman"/>
          <w:lang w:eastAsia="en-GB"/>
        </w:rPr>
        <w:t>self-appraisal index and under the conditions communicated by the supplier;</w:t>
      </w:r>
    </w:p>
    <w:p w:rsidR="00DA04C8" w:rsidRPr="009F2F07" w:rsidRDefault="0046787C"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lastRenderedPageBreak/>
        <w:t>For the above-mentioned situation, the supplier has to make a regularization for the period between two consecutive readings in the first invoice issued after the operator reads the index of the measuring equipment if he finds that at the end of the reading interval there are differences between the effective consumption achieved by the end customer the billed consumption, in the interval between operator’s readings.</w:t>
      </w:r>
    </w:p>
    <w:p w:rsidR="00913D63" w:rsidRPr="009F2F07" w:rsidRDefault="0046787C" w:rsidP="007134A6">
      <w:pPr>
        <w:pStyle w:val="ListParagraph"/>
        <w:numPr>
          <w:ilvl w:val="0"/>
          <w:numId w:val="1"/>
        </w:numPr>
        <w:spacing w:after="200" w:line="320" w:lineRule="exact"/>
        <w:jc w:val="both"/>
        <w:rPr>
          <w:rFonts w:ascii="Times New Roman" w:hAnsi="Times New Roman" w:cs="Times New Roman"/>
          <w:b/>
          <w:u w:val="single"/>
        </w:rPr>
      </w:pPr>
      <w:r w:rsidRPr="009F2F07">
        <w:rPr>
          <w:rFonts w:ascii="Times New Roman" w:hAnsi="Times New Roman" w:cs="Times New Roman"/>
          <w:b/>
          <w:u w:val="single"/>
        </w:rPr>
        <w:t>The information included in the invoice</w:t>
      </w:r>
    </w:p>
    <w:p w:rsidR="00913D63" w:rsidRPr="009F2F07" w:rsidRDefault="0046787C"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The supplier must include in the invoice issued to the end customer for the place of consumption, on the first or at most the second page of the invoice, at least the following priority information:</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13" w:name="do|ax1|caV|si4|ar39|al1|lia"/>
      <w:bookmarkEnd w:id="13"/>
      <w:r w:rsidRPr="009F2F07">
        <w:rPr>
          <w:rFonts w:ascii="Times New Roman" w:eastAsia="Times New Roman" w:hAnsi="Times New Roman" w:cs="Times New Roman"/>
          <w:lang w:eastAsia="en-GB"/>
        </w:rPr>
        <w:t>a)</w:t>
      </w:r>
      <w:r w:rsidR="0046787C" w:rsidRPr="009F2F07">
        <w:rPr>
          <w:rFonts w:ascii="Times New Roman" w:eastAsia="Times New Roman" w:hAnsi="Times New Roman" w:cs="Times New Roman"/>
          <w:lang w:eastAsia="en-GB"/>
        </w:rPr>
        <w:t xml:space="preserve"> data of identification and contact of the supplier</w:t>
      </w:r>
      <w:r w:rsidRPr="009F2F07">
        <w:rPr>
          <w:rFonts w:ascii="Times New Roman" w:eastAsia="Times New Roman" w:hAnsi="Times New Roman" w:cs="Times New Roman"/>
          <w:lang w:eastAsia="en-GB"/>
        </w:rPr>
        <w:t>;</w:t>
      </w:r>
    </w:p>
    <w:p w:rsidR="0046787C" w:rsidRPr="009F2F07" w:rsidRDefault="00913D63" w:rsidP="009A7C62">
      <w:pPr>
        <w:spacing w:after="200" w:line="320" w:lineRule="exact"/>
        <w:jc w:val="both"/>
        <w:rPr>
          <w:rFonts w:ascii="Times New Roman" w:eastAsia="Times New Roman" w:hAnsi="Times New Roman" w:cs="Times New Roman"/>
          <w:lang w:eastAsia="en-GB"/>
        </w:rPr>
      </w:pPr>
      <w:bookmarkStart w:id="14" w:name="do|ax1|caV|si4|ar39|al1|lib"/>
      <w:bookmarkEnd w:id="14"/>
      <w:r w:rsidRPr="009F2F07">
        <w:rPr>
          <w:rFonts w:ascii="Times New Roman" w:eastAsia="Times New Roman" w:hAnsi="Times New Roman" w:cs="Times New Roman"/>
          <w:lang w:eastAsia="en-GB"/>
        </w:rPr>
        <w:t>b)</w:t>
      </w:r>
      <w:r w:rsidR="0046787C" w:rsidRPr="009F2F07">
        <w:rPr>
          <w:rFonts w:ascii="Times New Roman" w:eastAsia="Times New Roman" w:hAnsi="Times New Roman" w:cs="Times New Roman"/>
          <w:lang w:eastAsia="en-GB"/>
        </w:rPr>
        <w:t xml:space="preserve"> data of identification of the end customer, address of the place of consumption and billing address, if the letter is different of the address of the place of consumption; </w:t>
      </w:r>
      <w:bookmarkStart w:id="15" w:name="do|ax1|caV|si4|ar39|al1|lic"/>
      <w:bookmarkEnd w:id="15"/>
    </w:p>
    <w:p w:rsidR="00913D63" w:rsidRPr="009F2F07" w:rsidRDefault="00913D63"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c)</w:t>
      </w:r>
      <w:r w:rsidR="0046787C" w:rsidRPr="009F2F07">
        <w:rPr>
          <w:rFonts w:ascii="Times New Roman" w:eastAsia="Times New Roman" w:hAnsi="Times New Roman" w:cs="Times New Roman"/>
          <w:lang w:eastAsia="en-GB"/>
        </w:rPr>
        <w:t xml:space="preserve"> the code of client assigned by the supplier</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16" w:name="do|ax1|caV|si4|ar39|al1|lid"/>
      <w:bookmarkEnd w:id="16"/>
      <w:r w:rsidRPr="009F2F07">
        <w:rPr>
          <w:rFonts w:ascii="Times New Roman" w:eastAsia="Times New Roman" w:hAnsi="Times New Roman" w:cs="Times New Roman"/>
          <w:lang w:eastAsia="en-GB"/>
        </w:rPr>
        <w:t>d)</w:t>
      </w:r>
      <w:r w:rsidR="0046787C" w:rsidRPr="009F2F07">
        <w:rPr>
          <w:rFonts w:ascii="Times New Roman" w:eastAsia="Times New Roman" w:hAnsi="Times New Roman" w:cs="Times New Roman"/>
          <w:lang w:eastAsia="en-GB"/>
        </w:rPr>
        <w:t xml:space="preserve"> the code of the place of consumption assigned by the operator CLC, with the obser</w:t>
      </w:r>
      <w:r w:rsidR="002F79F9" w:rsidRPr="009F2F07">
        <w:rPr>
          <w:rFonts w:ascii="Times New Roman" w:eastAsia="Times New Roman" w:hAnsi="Times New Roman" w:cs="Times New Roman"/>
          <w:lang w:eastAsia="en-GB"/>
        </w:rPr>
        <w:t>vance of the term stipulated in</w:t>
      </w:r>
      <w:r w:rsidR="0046787C" w:rsidRPr="009F2F07">
        <w:rPr>
          <w:rFonts w:ascii="Times New Roman" w:eastAsia="Times New Roman" w:hAnsi="Times New Roman" w:cs="Times New Roman"/>
          <w:lang w:eastAsia="en-GB"/>
        </w:rPr>
        <w:t xml:space="preserve"> art. 25 align</w:t>
      </w:r>
      <w:r w:rsidRPr="009F2F07">
        <w:rPr>
          <w:rFonts w:ascii="Times New Roman" w:eastAsia="Times New Roman" w:hAnsi="Times New Roman" w:cs="Times New Roman"/>
          <w:lang w:eastAsia="en-GB"/>
        </w:rPr>
        <w:t xml:space="preserve">. (7) </w:t>
      </w:r>
      <w:r w:rsidR="0046787C" w:rsidRPr="009F2F07">
        <w:rPr>
          <w:rFonts w:ascii="Times New Roman" w:eastAsia="Times New Roman" w:hAnsi="Times New Roman" w:cs="Times New Roman"/>
          <w:lang w:eastAsia="en-GB"/>
        </w:rPr>
        <w:t>of Order</w:t>
      </w:r>
      <w:r w:rsidRPr="009F2F07">
        <w:rPr>
          <w:rFonts w:ascii="Times New Roman" w:eastAsia="Times New Roman" w:hAnsi="Times New Roman" w:cs="Times New Roman"/>
          <w:lang w:eastAsia="en-GB"/>
        </w:rPr>
        <w:t xml:space="preserve"> 29/2016;</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17" w:name="do|ax1|caV|si4|ar39|al1|lie"/>
      <w:bookmarkEnd w:id="17"/>
      <w:r w:rsidRPr="009F2F07">
        <w:rPr>
          <w:rFonts w:ascii="Times New Roman" w:eastAsia="Times New Roman" w:hAnsi="Times New Roman" w:cs="Times New Roman"/>
          <w:lang w:eastAsia="en-GB"/>
        </w:rPr>
        <w:t>e)</w:t>
      </w:r>
      <w:r w:rsidR="0046787C" w:rsidRPr="009F2F07">
        <w:rPr>
          <w:rFonts w:ascii="Times New Roman" w:eastAsia="Times New Roman" w:hAnsi="Times New Roman" w:cs="Times New Roman"/>
          <w:lang w:eastAsia="en-GB"/>
        </w:rPr>
        <w:t xml:space="preserve"> the number and date of the invoice</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18" w:name="do|ax1|caV|si4|ar39|al1|lif"/>
      <w:bookmarkEnd w:id="18"/>
      <w:r w:rsidRPr="009F2F07">
        <w:rPr>
          <w:rFonts w:ascii="Times New Roman" w:eastAsia="Times New Roman" w:hAnsi="Times New Roman" w:cs="Times New Roman"/>
          <w:lang w:eastAsia="en-GB"/>
        </w:rPr>
        <w:t>f)</w:t>
      </w:r>
      <w:r w:rsidR="0046787C" w:rsidRPr="009F2F07">
        <w:rPr>
          <w:rFonts w:ascii="Times New Roman" w:eastAsia="Times New Roman" w:hAnsi="Times New Roman" w:cs="Times New Roman"/>
          <w:lang w:eastAsia="en-GB"/>
        </w:rPr>
        <w:t xml:space="preserve"> the start and end date of the billing period</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19" w:name="do|ax1|caV|si4|ar39|al1|lig"/>
      <w:bookmarkEnd w:id="19"/>
      <w:r w:rsidRPr="009F2F07">
        <w:rPr>
          <w:rFonts w:ascii="Times New Roman" w:eastAsia="Times New Roman" w:hAnsi="Times New Roman" w:cs="Times New Roman"/>
          <w:lang w:eastAsia="en-GB"/>
        </w:rPr>
        <w:t>g)</w:t>
      </w:r>
      <w:r w:rsidR="0046787C" w:rsidRPr="009F2F07">
        <w:rPr>
          <w:rFonts w:ascii="Times New Roman" w:eastAsia="Times New Roman" w:hAnsi="Times New Roman" w:cs="Times New Roman"/>
          <w:lang w:eastAsia="en-GB"/>
        </w:rPr>
        <w:t xml:space="preserve"> the due date of payment</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0" w:name="do|ax1|caV|si4|ar39|al1|lih"/>
      <w:bookmarkEnd w:id="20"/>
      <w:r w:rsidRPr="009F2F07">
        <w:rPr>
          <w:rFonts w:ascii="Times New Roman" w:eastAsia="Times New Roman" w:hAnsi="Times New Roman" w:cs="Times New Roman"/>
          <w:lang w:eastAsia="en-GB"/>
        </w:rPr>
        <w:t>h)</w:t>
      </w:r>
      <w:r w:rsidR="0046787C" w:rsidRPr="009F2F07">
        <w:rPr>
          <w:rFonts w:ascii="Times New Roman" w:eastAsia="Times New Roman" w:hAnsi="Times New Roman" w:cs="Times New Roman"/>
          <w:lang w:eastAsia="en-GB"/>
        </w:rPr>
        <w:t xml:space="preserve"> the name of the invoiced products/services, as appropriate, and their unit of measurement</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1" w:name="do|ax1|caV|si4|ar39|al1|lii"/>
      <w:bookmarkEnd w:id="21"/>
      <w:proofErr w:type="spellStart"/>
      <w:r w:rsidRPr="009F2F07">
        <w:rPr>
          <w:rFonts w:ascii="Times New Roman" w:eastAsia="Times New Roman" w:hAnsi="Times New Roman" w:cs="Times New Roman"/>
          <w:lang w:eastAsia="en-GB"/>
        </w:rPr>
        <w:t>i</w:t>
      </w:r>
      <w:proofErr w:type="spellEnd"/>
      <w:r w:rsidRPr="009F2F07">
        <w:rPr>
          <w:rFonts w:ascii="Times New Roman" w:eastAsia="Times New Roman" w:hAnsi="Times New Roman" w:cs="Times New Roman"/>
          <w:lang w:eastAsia="en-GB"/>
        </w:rPr>
        <w:t>)</w:t>
      </w:r>
      <w:r w:rsidR="0046787C" w:rsidRPr="009F2F07">
        <w:rPr>
          <w:rFonts w:ascii="Times New Roman" w:eastAsia="Times New Roman" w:hAnsi="Times New Roman" w:cs="Times New Roman"/>
          <w:lang w:eastAsia="en-GB"/>
        </w:rPr>
        <w:t xml:space="preserve"> the unit price for the supply of natural gas, expressed in lei/MWh or in submultiple</w:t>
      </w:r>
      <w:r w:rsidR="00A103A4" w:rsidRPr="009F2F07">
        <w:rPr>
          <w:rFonts w:ascii="Times New Roman" w:eastAsia="Times New Roman" w:hAnsi="Times New Roman" w:cs="Times New Roman"/>
          <w:lang w:eastAsia="en-GB"/>
        </w:rPr>
        <w:t xml:space="preserve"> lei/kWh, and the unit price/tariffs/taxes applied for each product/service that is separately invoiced in addition to natural gas supply, not included in the unit price, as the case may be;</w:t>
      </w:r>
      <w:r w:rsidR="0046787C" w:rsidRPr="009F2F07">
        <w:rPr>
          <w:rFonts w:ascii="Times New Roman" w:eastAsia="Times New Roman" w:hAnsi="Times New Roman" w:cs="Times New Roman"/>
          <w:lang w:eastAsia="en-GB"/>
        </w:rPr>
        <w:t xml:space="preserve"> </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2" w:name="do|ax1|caV|si4|ar39|al1|lij"/>
      <w:bookmarkEnd w:id="22"/>
      <w:r w:rsidRPr="009F2F07">
        <w:rPr>
          <w:rFonts w:ascii="Times New Roman" w:eastAsia="Times New Roman" w:hAnsi="Times New Roman" w:cs="Times New Roman"/>
          <w:lang w:eastAsia="en-GB"/>
        </w:rPr>
        <w:t>j)</w:t>
      </w:r>
      <w:r w:rsidR="00A103A4" w:rsidRPr="009F2F07">
        <w:rPr>
          <w:rFonts w:ascii="Times New Roman" w:eastAsia="Times New Roman" w:hAnsi="Times New Roman" w:cs="Times New Roman"/>
          <w:lang w:eastAsia="en-GB"/>
        </w:rPr>
        <w:t xml:space="preserve"> the type of the unit price for the supply of natural gas (fixed/variable);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3" w:name="do|ax1|caV|si4|ar39|al1|lik"/>
      <w:bookmarkEnd w:id="23"/>
      <w:r w:rsidRPr="009F2F07">
        <w:rPr>
          <w:rFonts w:ascii="Times New Roman" w:eastAsia="Times New Roman" w:hAnsi="Times New Roman" w:cs="Times New Roman"/>
          <w:lang w:eastAsia="en-GB"/>
        </w:rPr>
        <w:t>k)</w:t>
      </w:r>
      <w:r w:rsidR="00A103A4" w:rsidRPr="009F2F07">
        <w:rPr>
          <w:rFonts w:ascii="Times New Roman" w:eastAsia="Times New Roman" w:hAnsi="Times New Roman" w:cs="Times New Roman"/>
          <w:lang w:eastAsia="en-GB"/>
        </w:rPr>
        <w:t xml:space="preserve"> the components included in the unit price for the supply of natural gas, specifying what is regulated or a reference to the place where a detailed description of them can be found;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4" w:name="do|ax1|caV|si4|ar39|al1|lil"/>
      <w:bookmarkEnd w:id="24"/>
      <w:r w:rsidRPr="009F2F07">
        <w:rPr>
          <w:rFonts w:ascii="Times New Roman" w:eastAsia="Times New Roman" w:hAnsi="Times New Roman" w:cs="Times New Roman"/>
          <w:lang w:eastAsia="en-GB"/>
        </w:rPr>
        <w:t>l)</w:t>
      </w:r>
      <w:r w:rsidR="00A103A4" w:rsidRPr="009F2F07">
        <w:rPr>
          <w:rFonts w:ascii="Times New Roman" w:eastAsia="Times New Roman" w:hAnsi="Times New Roman" w:cs="Times New Roman"/>
          <w:lang w:eastAsia="en-GB"/>
        </w:rPr>
        <w:t xml:space="preserve"> the payment value for each product/service invoiced;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5" w:name="do|ax1|caV|si4|ar39|al1|lim"/>
      <w:bookmarkEnd w:id="25"/>
      <w:r w:rsidRPr="009F2F07">
        <w:rPr>
          <w:rFonts w:ascii="Times New Roman" w:eastAsia="Times New Roman" w:hAnsi="Times New Roman" w:cs="Times New Roman"/>
          <w:lang w:eastAsia="en-GB"/>
        </w:rPr>
        <w:t>m)</w:t>
      </w:r>
      <w:r w:rsidR="00A103A4" w:rsidRPr="009F2F07">
        <w:rPr>
          <w:rFonts w:ascii="Times New Roman" w:eastAsia="Times New Roman" w:hAnsi="Times New Roman" w:cs="Times New Roman"/>
          <w:lang w:eastAsia="en-GB"/>
        </w:rPr>
        <w:t xml:space="preserve"> the time interval and the manner (s) by which the customer can transmit the index of the measuring equipment determined by </w:t>
      </w:r>
      <w:r w:rsidR="0065685A" w:rsidRPr="009F2F07">
        <w:rPr>
          <w:rFonts w:ascii="Times New Roman" w:eastAsia="Times New Roman" w:hAnsi="Times New Roman" w:cs="Times New Roman"/>
          <w:lang w:eastAsia="en-GB"/>
        </w:rPr>
        <w:t xml:space="preserve">self-reading </w:t>
      </w:r>
      <w:r w:rsidR="00A103A4" w:rsidRPr="009F2F07">
        <w:rPr>
          <w:rFonts w:ascii="Times New Roman" w:eastAsia="Times New Roman" w:hAnsi="Times New Roman" w:cs="Times New Roman"/>
          <w:lang w:eastAsia="en-GB"/>
        </w:rPr>
        <w:t>in the case of the end customer where the operator reading interval is higher than the billing period;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6" w:name="do|ax1|caV|si4|ar39|al1|lin"/>
      <w:bookmarkEnd w:id="26"/>
      <w:r w:rsidRPr="009F2F07">
        <w:rPr>
          <w:rFonts w:ascii="Times New Roman" w:eastAsia="Times New Roman" w:hAnsi="Times New Roman" w:cs="Times New Roman"/>
          <w:lang w:eastAsia="en-GB"/>
        </w:rPr>
        <w:t>n)</w:t>
      </w:r>
      <w:r w:rsidR="00A103A4" w:rsidRPr="009F2F07">
        <w:rPr>
          <w:rFonts w:ascii="Times New Roman" w:eastAsia="Times New Roman" w:hAnsi="Times New Roman" w:cs="Times New Roman"/>
          <w:lang w:eastAsia="en-GB"/>
        </w:rPr>
        <w:t xml:space="preserve"> the index of the measuring equipment used at the beginning and end of the billing period for determining the quantity of natural gas, expressed in mc; in the case of the of the end customer where the operator`s reading interval is longer than the billing period it should be detailed the way of determination of the index, respectively reading by the operator</w:t>
      </w:r>
      <w:r w:rsidR="0065685A" w:rsidRPr="009F2F07">
        <w:rPr>
          <w:rFonts w:ascii="Times New Roman" w:eastAsia="Times New Roman" w:hAnsi="Times New Roman" w:cs="Times New Roman"/>
          <w:lang w:eastAsia="en-GB"/>
        </w:rPr>
        <w:t xml:space="preserve">/self-reading </w:t>
      </w:r>
      <w:r w:rsidR="00A103A4" w:rsidRPr="009F2F07">
        <w:rPr>
          <w:rFonts w:ascii="Times New Roman" w:eastAsia="Times New Roman" w:hAnsi="Times New Roman" w:cs="Times New Roman"/>
          <w:lang w:eastAsia="en-GB"/>
        </w:rPr>
        <w:t>by the end customer/estimation based on the consumption convention;</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7" w:name="do|ax1|caV|si4|ar39|al1|lio"/>
      <w:bookmarkEnd w:id="27"/>
      <w:r w:rsidRPr="009F2F07">
        <w:rPr>
          <w:rFonts w:ascii="Times New Roman" w:eastAsia="Times New Roman" w:hAnsi="Times New Roman" w:cs="Times New Roman"/>
          <w:lang w:eastAsia="en-GB"/>
        </w:rPr>
        <w:lastRenderedPageBreak/>
        <w:t>o)</w:t>
      </w:r>
      <w:r w:rsidR="00A103A4" w:rsidRPr="009F2F07">
        <w:rPr>
          <w:rFonts w:ascii="Times New Roman" w:eastAsia="Times New Roman" w:hAnsi="Times New Roman" w:cs="Times New Roman"/>
          <w:lang w:eastAsia="en-GB"/>
        </w:rPr>
        <w:t xml:space="preserve"> the quantity of natural gas, expressed in cubic meters, related to the billing period;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8" w:name="do|ax1|caV|si4|ar39|al1|lip"/>
      <w:bookmarkEnd w:id="28"/>
      <w:r w:rsidRPr="009F2F07">
        <w:rPr>
          <w:rFonts w:ascii="Times New Roman" w:eastAsia="Times New Roman" w:hAnsi="Times New Roman" w:cs="Times New Roman"/>
          <w:lang w:eastAsia="en-GB"/>
        </w:rPr>
        <w:t>p)</w:t>
      </w:r>
      <w:r w:rsidR="00A103A4" w:rsidRPr="009F2F07">
        <w:rPr>
          <w:rFonts w:ascii="Times New Roman" w:eastAsia="Times New Roman" w:hAnsi="Times New Roman" w:cs="Times New Roman"/>
          <w:lang w:eastAsia="en-GB"/>
        </w:rPr>
        <w:t xml:space="preserve"> the value of the higher calorific value for the billing period;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29" w:name="do|ax1|caV|si4|ar39|al1|liq"/>
      <w:bookmarkEnd w:id="29"/>
      <w:r w:rsidRPr="009F2F07">
        <w:rPr>
          <w:rFonts w:ascii="Times New Roman" w:eastAsia="Times New Roman" w:hAnsi="Times New Roman" w:cs="Times New Roman"/>
          <w:lang w:eastAsia="en-GB"/>
        </w:rPr>
        <w:t>q)</w:t>
      </w:r>
      <w:r w:rsidR="00A103A4" w:rsidRPr="009F2F07">
        <w:rPr>
          <w:rFonts w:ascii="Times New Roman" w:eastAsia="Times New Roman" w:hAnsi="Times New Roman" w:cs="Times New Roman"/>
          <w:lang w:eastAsia="en-GB"/>
        </w:rPr>
        <w:t xml:space="preserve"> the amount of energy, expressed in MWh/kWh, which represents the consumption of natural gas invoiced;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0" w:name="do|ax1|caV|si4|ar39|al1|lir"/>
      <w:bookmarkEnd w:id="30"/>
      <w:r w:rsidRPr="009F2F07">
        <w:rPr>
          <w:rFonts w:ascii="Times New Roman" w:eastAsia="Times New Roman" w:hAnsi="Times New Roman" w:cs="Times New Roman"/>
          <w:lang w:eastAsia="en-GB"/>
        </w:rPr>
        <w:t>r)</w:t>
      </w:r>
      <w:r w:rsidR="00452359" w:rsidRPr="009F2F07">
        <w:rPr>
          <w:rFonts w:ascii="Times New Roman" w:eastAsia="Times New Roman" w:hAnsi="Times New Roman" w:cs="Times New Roman"/>
          <w:lang w:eastAsia="en-GB"/>
        </w:rPr>
        <w:t xml:space="preserve"> the modality to convert the quantity of natural gas, expressed in mc, into the amount of energy, expressed in MWh/kWh;</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1" w:name="do|ax1|caV|si4|ar39|al1|lis"/>
      <w:bookmarkEnd w:id="31"/>
      <w:r w:rsidRPr="009F2F07">
        <w:rPr>
          <w:rFonts w:ascii="Times New Roman" w:eastAsia="Times New Roman" w:hAnsi="Times New Roman" w:cs="Times New Roman"/>
          <w:lang w:eastAsia="en-GB"/>
        </w:rPr>
        <w:t>s)</w:t>
      </w:r>
      <w:r w:rsidR="00452359" w:rsidRPr="009F2F07">
        <w:rPr>
          <w:rFonts w:ascii="Times New Roman" w:eastAsia="Times New Roman" w:hAnsi="Times New Roman" w:cs="Times New Roman"/>
          <w:lang w:eastAsia="en-GB"/>
        </w:rPr>
        <w:t xml:space="preserve"> information on gas excise;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2" w:name="do|ax1|caV|si4|ar39|al1|liş"/>
      <w:bookmarkEnd w:id="32"/>
      <w:r w:rsidRPr="009F2F07">
        <w:rPr>
          <w:rFonts w:ascii="Times New Roman" w:eastAsia="Times New Roman" w:hAnsi="Times New Roman" w:cs="Times New Roman"/>
          <w:lang w:eastAsia="en-GB"/>
        </w:rPr>
        <w:t>ş)</w:t>
      </w:r>
      <w:r w:rsidR="00452359" w:rsidRPr="009F2F07">
        <w:rPr>
          <w:rFonts w:ascii="Times New Roman" w:eastAsia="Times New Roman" w:hAnsi="Times New Roman" w:cs="Times New Roman"/>
          <w:lang w:eastAsia="en-GB"/>
        </w:rPr>
        <w:t xml:space="preserve"> VAT value</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3" w:name="do|ax1|caV|si4|ar39|al1|lit"/>
      <w:bookmarkEnd w:id="33"/>
      <w:r w:rsidRPr="009F2F07">
        <w:rPr>
          <w:rFonts w:ascii="Times New Roman" w:eastAsia="Times New Roman" w:hAnsi="Times New Roman" w:cs="Times New Roman"/>
          <w:lang w:eastAsia="en-GB"/>
        </w:rPr>
        <w:t>t)</w:t>
      </w:r>
      <w:r w:rsidR="00452359" w:rsidRPr="009F2F07">
        <w:rPr>
          <w:rFonts w:ascii="Times New Roman" w:eastAsia="Times New Roman" w:hAnsi="Times New Roman" w:cs="Times New Roman"/>
          <w:lang w:eastAsia="en-GB"/>
        </w:rPr>
        <w:t xml:space="preserve"> the total value for payment</w:t>
      </w:r>
      <w:r w:rsidRPr="009F2F07">
        <w:rPr>
          <w:rFonts w:ascii="Times New Roman" w:eastAsia="Times New Roman" w:hAnsi="Times New Roman" w:cs="Times New Roman"/>
          <w:lang w:eastAsia="en-GB"/>
        </w:rPr>
        <w:t xml:space="preserve"> (</w:t>
      </w:r>
      <w:r w:rsidR="00452359" w:rsidRPr="009F2F07">
        <w:rPr>
          <w:rFonts w:ascii="Times New Roman" w:eastAsia="Times New Roman" w:hAnsi="Times New Roman" w:cs="Times New Roman"/>
          <w:lang w:eastAsia="en-GB"/>
        </w:rPr>
        <w:t>including</w:t>
      </w:r>
      <w:r w:rsidRPr="009F2F07">
        <w:rPr>
          <w:rFonts w:ascii="Times New Roman" w:eastAsia="Times New Roman" w:hAnsi="Times New Roman" w:cs="Times New Roman"/>
          <w:lang w:eastAsia="en-GB"/>
        </w:rPr>
        <w:t xml:space="preserve"> TVA);</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4" w:name="do|ax1|caV|si4|ar39|al1|liţ"/>
      <w:bookmarkEnd w:id="34"/>
      <w:r w:rsidRPr="009F2F07">
        <w:rPr>
          <w:rFonts w:ascii="Times New Roman" w:eastAsia="Times New Roman" w:hAnsi="Times New Roman" w:cs="Times New Roman"/>
          <w:lang w:eastAsia="en-GB"/>
        </w:rPr>
        <w:t>ţ)</w:t>
      </w:r>
      <w:r w:rsidR="00452359" w:rsidRPr="009F2F07">
        <w:rPr>
          <w:rFonts w:ascii="Times New Roman" w:eastAsia="Times New Roman" w:hAnsi="Times New Roman" w:cs="Times New Roman"/>
          <w:lang w:eastAsia="en-GB"/>
        </w:rPr>
        <w:t xml:space="preserve"> the modalities of paying the invoice;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5" w:name="do|ax1|caV|si4|ar39|al1|liu"/>
      <w:bookmarkEnd w:id="35"/>
      <w:r w:rsidRPr="009F2F07">
        <w:rPr>
          <w:rFonts w:ascii="Times New Roman" w:eastAsia="Times New Roman" w:hAnsi="Times New Roman" w:cs="Times New Roman"/>
          <w:lang w:eastAsia="en-GB"/>
        </w:rPr>
        <w:t>u)</w:t>
      </w:r>
      <w:r w:rsidR="00452359" w:rsidRPr="009F2F07">
        <w:rPr>
          <w:rFonts w:ascii="Times New Roman" w:eastAsia="Times New Roman" w:hAnsi="Times New Roman" w:cs="Times New Roman"/>
          <w:lang w:eastAsia="en-GB"/>
        </w:rPr>
        <w:t xml:space="preserve"> contact details of the customer service centre provided by the supplier;</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6" w:name="do|ax1|caV|si4|ar39|al1|liv"/>
      <w:bookmarkEnd w:id="36"/>
      <w:r w:rsidRPr="009F2F07">
        <w:rPr>
          <w:rFonts w:ascii="Times New Roman" w:eastAsia="Times New Roman" w:hAnsi="Times New Roman" w:cs="Times New Roman"/>
          <w:lang w:eastAsia="en-GB"/>
        </w:rPr>
        <w:t>v)</w:t>
      </w:r>
      <w:bookmarkStart w:id="37" w:name="do|ax1|caV|si4|ar39|al2"/>
      <w:bookmarkEnd w:id="37"/>
      <w:r w:rsidR="00452359" w:rsidRPr="009F2F07">
        <w:rPr>
          <w:rFonts w:ascii="Times New Roman" w:eastAsia="Times New Roman" w:hAnsi="Times New Roman" w:cs="Times New Roman"/>
          <w:lang w:eastAsia="en-GB"/>
        </w:rPr>
        <w:t xml:space="preserve"> the phone number made available by the operator to report emergency situations regarding the safe operation of the installations of the end customer or the operator;</w:t>
      </w:r>
    </w:p>
    <w:p w:rsidR="00913D63" w:rsidRPr="009F2F07" w:rsidRDefault="00452359"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If the end customer fails to pay an invoice within the due date, the subsequent invoice must include information about the previous unpaid debit at the moment of issuance of the invoice and the meaning of each payment obligation included in the invoice.</w:t>
      </w:r>
    </w:p>
    <w:p w:rsidR="00913D63" w:rsidRPr="009F2F07" w:rsidRDefault="00452359"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The supplier must provide at least the following additional information to the end customer through the invoice and/or the documents annexed thereto:</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8" w:name="do|ax1|caV|si4|ar40|al1|lia"/>
      <w:bookmarkEnd w:id="38"/>
      <w:r w:rsidRPr="009F2F07">
        <w:rPr>
          <w:rFonts w:ascii="Times New Roman" w:eastAsia="Times New Roman" w:hAnsi="Times New Roman" w:cs="Times New Roman"/>
          <w:lang w:eastAsia="en-GB"/>
        </w:rPr>
        <w:t>a)</w:t>
      </w:r>
      <w:r w:rsidR="00452359" w:rsidRPr="009F2F07">
        <w:rPr>
          <w:rFonts w:ascii="Times New Roman" w:eastAsia="Times New Roman" w:hAnsi="Times New Roman" w:cs="Times New Roman"/>
          <w:lang w:eastAsia="en-GB"/>
        </w:rPr>
        <w:t xml:space="preserve"> information on the right of the end customer to change the supplier free of charge, in compliance with the contractual conditions, under the procedure approved by ANRE with the mention that “</w:t>
      </w:r>
      <w:r w:rsidR="00452359" w:rsidRPr="009F2F07">
        <w:rPr>
          <w:rFonts w:ascii="Times New Roman" w:eastAsia="Times New Roman" w:hAnsi="Times New Roman" w:cs="Times New Roman"/>
          <w:i/>
          <w:lang w:eastAsia="en-GB"/>
        </w:rPr>
        <w:t xml:space="preserve">The list of the economic operators, holders of licenses of natural </w:t>
      </w:r>
      <w:r w:rsidR="002F79F9" w:rsidRPr="009F2F07">
        <w:rPr>
          <w:rFonts w:ascii="Times New Roman" w:eastAsia="Times New Roman" w:hAnsi="Times New Roman" w:cs="Times New Roman"/>
          <w:i/>
          <w:lang w:eastAsia="en-GB"/>
        </w:rPr>
        <w:t>gas</w:t>
      </w:r>
      <w:r w:rsidR="00452359" w:rsidRPr="009F2F07">
        <w:rPr>
          <w:rFonts w:ascii="Times New Roman" w:eastAsia="Times New Roman" w:hAnsi="Times New Roman" w:cs="Times New Roman"/>
          <w:i/>
          <w:lang w:eastAsia="en-GB"/>
        </w:rPr>
        <w:t xml:space="preserve"> supply</w:t>
      </w:r>
      <w:r w:rsidR="00452359" w:rsidRPr="009F2F07">
        <w:rPr>
          <w:rFonts w:ascii="Times New Roman" w:eastAsia="Times New Roman" w:hAnsi="Times New Roman" w:cs="Times New Roman"/>
          <w:lang w:eastAsia="en-GB"/>
        </w:rPr>
        <w:t>” is published on ANRE`s website.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39" w:name="do|ax1|caV|si4|ar40|al1|lib"/>
      <w:bookmarkEnd w:id="39"/>
      <w:r w:rsidRPr="009F2F07">
        <w:rPr>
          <w:rFonts w:ascii="Times New Roman" w:eastAsia="Times New Roman" w:hAnsi="Times New Roman" w:cs="Times New Roman"/>
          <w:lang w:eastAsia="en-GB"/>
        </w:rPr>
        <w:t>b)</w:t>
      </w:r>
      <w:r w:rsidR="00452359" w:rsidRPr="009F2F07">
        <w:rPr>
          <w:rFonts w:ascii="Times New Roman" w:eastAsia="Times New Roman" w:hAnsi="Times New Roman" w:cs="Times New Roman"/>
          <w:lang w:eastAsia="en-GB"/>
        </w:rPr>
        <w:t xml:space="preserve"> information on how complaints are transmitted by end </w:t>
      </w:r>
      <w:r w:rsidR="00D55345" w:rsidRPr="009F2F07">
        <w:rPr>
          <w:rFonts w:ascii="Times New Roman" w:eastAsia="Times New Roman" w:hAnsi="Times New Roman" w:cs="Times New Roman"/>
          <w:lang w:eastAsia="en-GB"/>
        </w:rPr>
        <w:t>customers</w:t>
      </w:r>
      <w:r w:rsidR="00452359" w:rsidRPr="009F2F07">
        <w:rPr>
          <w:rFonts w:ascii="Times New Roman" w:eastAsia="Times New Roman" w:hAnsi="Times New Roman" w:cs="Times New Roman"/>
          <w:lang w:eastAsia="en-GB"/>
        </w:rPr>
        <w:t xml:space="preserve"> and on their options if they are not satisfied with the </w:t>
      </w:r>
      <w:r w:rsidR="00D55345" w:rsidRPr="009F2F07">
        <w:rPr>
          <w:rFonts w:ascii="Times New Roman" w:eastAsia="Times New Roman" w:hAnsi="Times New Roman" w:cs="Times New Roman"/>
          <w:lang w:eastAsia="en-GB"/>
        </w:rPr>
        <w:t>way on solving of their complaints;</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40" w:name="do|ax1|caV|si4|ar40|al1|lic"/>
      <w:bookmarkEnd w:id="40"/>
      <w:r w:rsidRPr="009F2F07">
        <w:rPr>
          <w:rFonts w:ascii="Times New Roman" w:eastAsia="Times New Roman" w:hAnsi="Times New Roman" w:cs="Times New Roman"/>
          <w:lang w:eastAsia="en-GB"/>
        </w:rPr>
        <w:t>c)</w:t>
      </w:r>
      <w:r w:rsidR="00D55345" w:rsidRPr="009F2F07">
        <w:rPr>
          <w:rFonts w:ascii="Times New Roman" w:eastAsia="Times New Roman" w:hAnsi="Times New Roman" w:cs="Times New Roman"/>
          <w:lang w:eastAsia="en-GB"/>
        </w:rPr>
        <w:t xml:space="preserve"> information on the measures that the supplier has the right to take, according to the gas supply contract concluded, in the event that the end customer fails to pay the invoice within the due date;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41" w:name="do|ax1|caV|si4|ar40|al1|lid"/>
      <w:bookmarkEnd w:id="41"/>
      <w:r w:rsidRPr="009F2F07">
        <w:rPr>
          <w:rFonts w:ascii="Times New Roman" w:eastAsia="Times New Roman" w:hAnsi="Times New Roman" w:cs="Times New Roman"/>
          <w:lang w:eastAsia="en-GB"/>
        </w:rPr>
        <w:t>d)</w:t>
      </w:r>
      <w:r w:rsidR="00E20CA6" w:rsidRPr="009F2F07">
        <w:rPr>
          <w:rFonts w:ascii="Times New Roman" w:eastAsia="Times New Roman" w:hAnsi="Times New Roman" w:cs="Times New Roman"/>
          <w:lang w:eastAsia="en-GB"/>
        </w:rPr>
        <w:t>information on the right of the end customer to benefit from a minimum level of quality of supply and services related to natural gas supply, the non-compliance of which entails payment by the provider of such activity/service of a penalty/compensation to the end customer affected, according to the standards of performance approved by ANRE;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42" w:name="do|ax1|caV|si4|ar40|al1|lie"/>
      <w:bookmarkEnd w:id="42"/>
      <w:r w:rsidRPr="009F2F07">
        <w:rPr>
          <w:rFonts w:ascii="Times New Roman" w:eastAsia="Times New Roman" w:hAnsi="Times New Roman" w:cs="Times New Roman"/>
          <w:lang w:eastAsia="en-GB"/>
        </w:rPr>
        <w:t>e)</w:t>
      </w:r>
      <w:r w:rsidR="003D5979" w:rsidRPr="009F2F07">
        <w:rPr>
          <w:rFonts w:ascii="Times New Roman" w:eastAsia="Times New Roman" w:hAnsi="Times New Roman" w:cs="Times New Roman"/>
          <w:lang w:eastAsia="en-GB"/>
        </w:rPr>
        <w:t xml:space="preserve"> any other information provided by the applicable legislation that the supplier is required to make available to the end customer through the invoice and/or the documents attached to it.</w:t>
      </w:r>
    </w:p>
    <w:p w:rsidR="00913D63" w:rsidRPr="009F2F07" w:rsidRDefault="003D5979" w:rsidP="009A7C62">
      <w:pPr>
        <w:spacing w:after="200" w:line="320" w:lineRule="exact"/>
        <w:jc w:val="both"/>
        <w:rPr>
          <w:rFonts w:ascii="Times New Roman" w:eastAsia="Times New Roman" w:hAnsi="Times New Roman" w:cs="Times New Roman"/>
          <w:lang w:eastAsia="en-GB"/>
        </w:rPr>
      </w:pPr>
      <w:bookmarkStart w:id="43" w:name="do|ax1|caV|si4|ar40|al2"/>
      <w:bookmarkStart w:id="44" w:name="do|ax1|caV|si4|ar41|al1"/>
      <w:bookmarkEnd w:id="43"/>
      <w:bookmarkEnd w:id="44"/>
      <w:r w:rsidRPr="009F2F07">
        <w:rPr>
          <w:rFonts w:ascii="Times New Roman" w:eastAsia="Times New Roman" w:hAnsi="Times New Roman" w:cs="Times New Roman"/>
          <w:lang w:eastAsia="en-GB"/>
        </w:rPr>
        <w:lastRenderedPageBreak/>
        <w:t>In addition to the information provided above, the supplier shall make available to household customers, through the invoice and/or documents enclosed to it, information on the types of facilities made available by the supplier to vulnerable customers or a reference to where such can be consulted.</w:t>
      </w:r>
    </w:p>
    <w:p w:rsidR="00913D63" w:rsidRPr="009F2F07" w:rsidRDefault="003D5979"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u w:val="single"/>
          <w:lang w:eastAsia="en-GB"/>
        </w:rPr>
        <w:t xml:space="preserve">The supplier must provide at least the following invoicing information to the end customer through the invoice and/or document </w:t>
      </w:r>
      <w:r w:rsidR="002F79F9" w:rsidRPr="009F2F07">
        <w:rPr>
          <w:rFonts w:ascii="Times New Roman" w:eastAsia="Times New Roman" w:hAnsi="Times New Roman" w:cs="Times New Roman"/>
          <w:u w:val="single"/>
          <w:lang w:eastAsia="en-GB"/>
        </w:rPr>
        <w:t>attached to</w:t>
      </w:r>
      <w:r w:rsidRPr="009F2F07">
        <w:rPr>
          <w:rFonts w:ascii="Times New Roman" w:eastAsia="Times New Roman" w:hAnsi="Times New Roman" w:cs="Times New Roman"/>
          <w:u w:val="single"/>
          <w:lang w:eastAsia="en-GB"/>
        </w:rPr>
        <w:t xml:space="preserve"> it: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45" w:name="do|ax1|caV|si4|ar41|al1|lia"/>
      <w:bookmarkEnd w:id="45"/>
      <w:r w:rsidRPr="009F2F07">
        <w:rPr>
          <w:rFonts w:ascii="Times New Roman" w:eastAsia="Times New Roman" w:hAnsi="Times New Roman" w:cs="Times New Roman"/>
          <w:lang w:eastAsia="en-GB"/>
        </w:rPr>
        <w:t>a)</w:t>
      </w:r>
      <w:r w:rsidR="003D5979" w:rsidRPr="009F2F07">
        <w:rPr>
          <w:rFonts w:ascii="Times New Roman" w:eastAsia="Times New Roman" w:hAnsi="Times New Roman" w:cs="Times New Roman"/>
          <w:lang w:eastAsia="en-GB"/>
        </w:rPr>
        <w:t xml:space="preserve"> the current price and the real gas consumption;</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46" w:name="do|ax1|caV|si4|ar41|al1|lib"/>
      <w:bookmarkEnd w:id="46"/>
      <w:r w:rsidRPr="009F2F07">
        <w:rPr>
          <w:rFonts w:ascii="Times New Roman" w:eastAsia="Times New Roman" w:hAnsi="Times New Roman" w:cs="Times New Roman"/>
          <w:lang w:eastAsia="en-GB"/>
        </w:rPr>
        <w:t>b)</w:t>
      </w:r>
      <w:r w:rsidR="00EA2682" w:rsidRPr="009F2F07">
        <w:rPr>
          <w:rFonts w:ascii="Times New Roman" w:eastAsia="Times New Roman" w:hAnsi="Times New Roman" w:cs="Times New Roman"/>
          <w:lang w:eastAsia="en-GB"/>
        </w:rPr>
        <w:t xml:space="preserve"> comparisons between the current consumption of the end customer and the consumption corresponding to the same period of the previous year, to the extent that this information is available, preferably in graphic form;</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47" w:name="do|ax1|caV|si4|ar41|al1|lic"/>
      <w:bookmarkEnd w:id="47"/>
      <w:r w:rsidRPr="009F2F07">
        <w:rPr>
          <w:rFonts w:ascii="Times New Roman" w:eastAsia="Times New Roman" w:hAnsi="Times New Roman" w:cs="Times New Roman"/>
          <w:lang w:eastAsia="en-GB"/>
        </w:rPr>
        <w:t>c)</w:t>
      </w:r>
      <w:r w:rsidR="002F79F9" w:rsidRPr="009F2F07">
        <w:rPr>
          <w:rFonts w:ascii="Times New Roman" w:eastAsia="Times New Roman" w:hAnsi="Times New Roman" w:cs="Times New Roman"/>
          <w:lang w:eastAsia="en-GB"/>
        </w:rPr>
        <w:t xml:space="preserve"> information on energy efficiency concepts and contact details of energy related institutions from where the end customers can obtain information on available energy efficiency improvement measures, individual consumption reference profiles and other technical specifications for energy appliances which can help to reduce consumption</w:t>
      </w:r>
      <w:r w:rsidRPr="009F2F07">
        <w:rPr>
          <w:rFonts w:ascii="Times New Roman" w:eastAsia="Times New Roman" w:hAnsi="Times New Roman" w:cs="Times New Roman"/>
          <w:lang w:eastAsia="en-GB"/>
        </w:rPr>
        <w:t>.</w:t>
      </w:r>
      <w:bookmarkStart w:id="48" w:name="do|ax1|caV|si4|ar41|al2"/>
      <w:bookmarkStart w:id="49" w:name="do|ax1|caV|si4|ar42"/>
      <w:bookmarkEnd w:id="48"/>
      <w:bookmarkEnd w:id="49"/>
    </w:p>
    <w:p w:rsidR="00913D63" w:rsidRPr="009F2F07" w:rsidRDefault="002F79F9" w:rsidP="009A7C62">
      <w:pPr>
        <w:spacing w:after="200" w:line="320" w:lineRule="exact"/>
        <w:jc w:val="both"/>
        <w:rPr>
          <w:rFonts w:ascii="Times New Roman" w:eastAsia="Times New Roman" w:hAnsi="Times New Roman" w:cs="Times New Roman"/>
          <w:lang w:eastAsia="en-GB"/>
        </w:rPr>
      </w:pPr>
      <w:bookmarkStart w:id="50" w:name="do|ax1|caV|si4|ar42|pa1"/>
      <w:bookmarkEnd w:id="50"/>
      <w:r w:rsidRPr="009F2F07">
        <w:rPr>
          <w:rFonts w:ascii="Times New Roman" w:eastAsia="Times New Roman" w:hAnsi="Times New Roman" w:cs="Times New Roman"/>
          <w:lang w:eastAsia="en-GB"/>
        </w:rPr>
        <w:t>If the reading interval of the index of the measuring equipment is longer than the billing period, the supplier shall include in the invoice for regularization the following information:</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1" w:name="do|ax1|caV|si4|ar42|lia"/>
      <w:bookmarkEnd w:id="51"/>
      <w:r w:rsidRPr="009F2F07">
        <w:rPr>
          <w:rFonts w:ascii="Times New Roman" w:eastAsia="Times New Roman" w:hAnsi="Times New Roman" w:cs="Times New Roman"/>
          <w:lang w:eastAsia="en-GB"/>
        </w:rPr>
        <w:t>a)</w:t>
      </w:r>
      <w:r w:rsidR="002F79F9" w:rsidRPr="009F2F07">
        <w:rPr>
          <w:rFonts w:ascii="Times New Roman" w:eastAsia="Times New Roman" w:hAnsi="Times New Roman" w:cs="Times New Roman"/>
          <w:lang w:eastAsia="en-GB"/>
        </w:rPr>
        <w:t xml:space="preserve"> indication in a clear manner that this is a regularization invoice;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2" w:name="do|ax1|caV|si4|ar42|lib"/>
      <w:bookmarkEnd w:id="52"/>
      <w:r w:rsidRPr="009F2F07">
        <w:rPr>
          <w:rFonts w:ascii="Times New Roman" w:eastAsia="Times New Roman" w:hAnsi="Times New Roman" w:cs="Times New Roman"/>
          <w:lang w:eastAsia="en-GB"/>
        </w:rPr>
        <w:t>b)</w:t>
      </w:r>
      <w:r w:rsidR="002F79F9" w:rsidRPr="009F2F07">
        <w:rPr>
          <w:rFonts w:ascii="Times New Roman" w:eastAsia="Times New Roman" w:hAnsi="Times New Roman" w:cs="Times New Roman"/>
          <w:lang w:eastAsia="en-GB"/>
        </w:rPr>
        <w:t xml:space="preserve"> the period for which is performed the regularization;</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3" w:name="do|ax1|caV|si4|ar42|lic"/>
      <w:bookmarkEnd w:id="53"/>
      <w:r w:rsidRPr="009F2F07">
        <w:rPr>
          <w:rFonts w:ascii="Times New Roman" w:eastAsia="Times New Roman" w:hAnsi="Times New Roman" w:cs="Times New Roman"/>
          <w:lang w:eastAsia="en-GB"/>
        </w:rPr>
        <w:t>c)</w:t>
      </w:r>
      <w:r w:rsidR="002F79F9" w:rsidRPr="009F2F07">
        <w:rPr>
          <w:rFonts w:ascii="Times New Roman" w:eastAsia="Times New Roman" w:hAnsi="Times New Roman" w:cs="Times New Roman"/>
          <w:lang w:eastAsia="en-GB"/>
        </w:rPr>
        <w:t xml:space="preserve"> the index of the measuring equipment determined by the operator by reading at the beginning and end </w:t>
      </w:r>
      <w:r w:rsidR="00094669" w:rsidRPr="009F2F07">
        <w:rPr>
          <w:rFonts w:ascii="Times New Roman" w:eastAsia="Times New Roman" w:hAnsi="Times New Roman" w:cs="Times New Roman"/>
          <w:lang w:eastAsia="en-GB"/>
        </w:rPr>
        <w:t>of the period for which the regularization is made;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4" w:name="do|ax1|caV|si4|ar42|lid"/>
      <w:bookmarkEnd w:id="54"/>
      <w:r w:rsidRPr="009F2F07">
        <w:rPr>
          <w:rFonts w:ascii="Times New Roman" w:eastAsia="Times New Roman" w:hAnsi="Times New Roman" w:cs="Times New Roman"/>
          <w:lang w:eastAsia="en-GB"/>
        </w:rPr>
        <w:t>d)</w:t>
      </w:r>
      <w:r w:rsidR="00094669" w:rsidRPr="009F2F07">
        <w:rPr>
          <w:rFonts w:ascii="Times New Roman" w:eastAsia="Times New Roman" w:hAnsi="Times New Roman" w:cs="Times New Roman"/>
          <w:lang w:eastAsia="en-GB"/>
        </w:rPr>
        <w:t xml:space="preserve"> the quantity of natural gas, expressed in cubic meters, effectively consumed during the period for which the regularization is made;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5" w:name="do|ax1|caV|si4|ar42|lie"/>
      <w:bookmarkEnd w:id="55"/>
      <w:r w:rsidRPr="009F2F07">
        <w:rPr>
          <w:rFonts w:ascii="Times New Roman" w:eastAsia="Times New Roman" w:hAnsi="Times New Roman" w:cs="Times New Roman"/>
          <w:lang w:eastAsia="en-GB"/>
        </w:rPr>
        <w:t>e)</w:t>
      </w:r>
      <w:r w:rsidR="00094669" w:rsidRPr="009F2F07">
        <w:rPr>
          <w:rFonts w:ascii="Times New Roman" w:eastAsia="Times New Roman" w:hAnsi="Times New Roman" w:cs="Times New Roman"/>
          <w:lang w:eastAsia="en-GB"/>
        </w:rPr>
        <w:t xml:space="preserve"> the average of upper calorific value of the period for which the regularization is made, calculated as the </w:t>
      </w:r>
      <w:r w:rsidR="00446F07" w:rsidRPr="009F2F07">
        <w:rPr>
          <w:rFonts w:ascii="Times New Roman" w:eastAsia="Times New Roman" w:hAnsi="Times New Roman" w:cs="Times New Roman"/>
          <w:lang w:eastAsia="en-GB"/>
        </w:rPr>
        <w:t>arithmetic mean of the upper calorific values for each day of the regularization period;</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6" w:name="do|ax1|caV|si4|ar42|lif"/>
      <w:bookmarkEnd w:id="56"/>
      <w:r w:rsidRPr="009F2F07">
        <w:rPr>
          <w:rFonts w:ascii="Times New Roman" w:eastAsia="Times New Roman" w:hAnsi="Times New Roman" w:cs="Times New Roman"/>
          <w:lang w:eastAsia="en-GB"/>
        </w:rPr>
        <w:t>f)</w:t>
      </w:r>
      <w:r w:rsidR="00446F07" w:rsidRPr="009F2F07">
        <w:rPr>
          <w:rFonts w:ascii="Times New Roman" w:eastAsia="Times New Roman" w:hAnsi="Times New Roman" w:cs="Times New Roman"/>
          <w:lang w:eastAsia="en-GB"/>
        </w:rPr>
        <w:t xml:space="preserve"> the </w:t>
      </w:r>
      <w:r w:rsidR="00936611" w:rsidRPr="009F2F07">
        <w:rPr>
          <w:rFonts w:ascii="Times New Roman" w:eastAsia="Times New Roman" w:hAnsi="Times New Roman" w:cs="Times New Roman"/>
          <w:lang w:eastAsia="en-GB"/>
        </w:rPr>
        <w:t>quantity</w:t>
      </w:r>
      <w:r w:rsidR="00446F07" w:rsidRPr="009F2F07">
        <w:rPr>
          <w:rFonts w:ascii="Times New Roman" w:eastAsia="Times New Roman" w:hAnsi="Times New Roman" w:cs="Times New Roman"/>
          <w:lang w:eastAsia="en-GB"/>
        </w:rPr>
        <w:t xml:space="preserve"> of energy, expressed in MWh/kWh, which represents the actual consumption of natural gas during the period for which the regularization is made;</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7" w:name="do|ax1|caV|si4|ar42|lig"/>
      <w:bookmarkEnd w:id="57"/>
      <w:r w:rsidRPr="009F2F07">
        <w:rPr>
          <w:rFonts w:ascii="Times New Roman" w:eastAsia="Times New Roman" w:hAnsi="Times New Roman" w:cs="Times New Roman"/>
          <w:lang w:eastAsia="en-GB"/>
        </w:rPr>
        <w:t>g)</w:t>
      </w:r>
      <w:r w:rsidR="00936611" w:rsidRPr="009F2F07">
        <w:rPr>
          <w:rFonts w:ascii="Times New Roman" w:eastAsia="Times New Roman" w:hAnsi="Times New Roman" w:cs="Times New Roman"/>
          <w:lang w:eastAsia="en-GB"/>
        </w:rPr>
        <w:t xml:space="preserve"> the quantity of energy, expressed in MWh/kWh, which represents the invoiced consumption of natural gas in the interval between the operator readings</w:t>
      </w:r>
      <w:r w:rsidRPr="009F2F07">
        <w:rPr>
          <w:rFonts w:ascii="Times New Roman" w:eastAsia="Times New Roman" w:hAnsi="Times New Roman" w:cs="Times New Roman"/>
          <w:lang w:eastAsia="en-GB"/>
        </w:rPr>
        <w:t>;</w:t>
      </w:r>
    </w:p>
    <w:p w:rsidR="00913D63" w:rsidRPr="009F2F07" w:rsidRDefault="00913D63" w:rsidP="009A7C62">
      <w:pPr>
        <w:spacing w:after="200" w:line="320" w:lineRule="exact"/>
        <w:jc w:val="both"/>
        <w:rPr>
          <w:rFonts w:ascii="Times New Roman" w:eastAsia="Times New Roman" w:hAnsi="Times New Roman" w:cs="Times New Roman"/>
          <w:lang w:eastAsia="en-GB"/>
        </w:rPr>
      </w:pPr>
      <w:bookmarkStart w:id="58" w:name="do|ax1|caV|si4|ar42|lih"/>
      <w:bookmarkEnd w:id="58"/>
      <w:r w:rsidRPr="009F2F07">
        <w:rPr>
          <w:rFonts w:ascii="Times New Roman" w:eastAsia="Times New Roman" w:hAnsi="Times New Roman" w:cs="Times New Roman"/>
          <w:lang w:eastAsia="en-GB"/>
        </w:rPr>
        <w:t>h)</w:t>
      </w:r>
      <w:r w:rsidR="00936611" w:rsidRPr="009F2F07">
        <w:rPr>
          <w:rFonts w:ascii="Times New Roman" w:eastAsia="Times New Roman" w:hAnsi="Times New Roman" w:cs="Times New Roman"/>
          <w:lang w:eastAsia="en-GB"/>
        </w:rPr>
        <w:t xml:space="preserve"> the debtor/creditor balance at the end of the regularization period, calculated on the basis of the difference between the actual consumption and the invoiced consumption in the interval between the operator`s readings, respectively the amount that end customer still has to pay to the supplier or the amount owed by the supplier to the end customer as a result of regularization, as appropriate.</w:t>
      </w:r>
    </w:p>
    <w:p w:rsidR="00DB76C7" w:rsidRPr="009F2F07" w:rsidRDefault="00936611" w:rsidP="007134A6">
      <w:pPr>
        <w:pStyle w:val="ListParagraph"/>
        <w:numPr>
          <w:ilvl w:val="0"/>
          <w:numId w:val="1"/>
        </w:numPr>
        <w:spacing w:after="200" w:line="320" w:lineRule="exact"/>
        <w:jc w:val="both"/>
        <w:rPr>
          <w:rFonts w:ascii="Times New Roman" w:eastAsia="Times New Roman" w:hAnsi="Times New Roman" w:cs="Times New Roman"/>
          <w:b/>
          <w:bCs/>
          <w:lang w:eastAsia="en-GB"/>
        </w:rPr>
      </w:pPr>
      <w:r w:rsidRPr="009F2F07">
        <w:rPr>
          <w:rFonts w:ascii="Times New Roman" w:hAnsi="Times New Roman" w:cs="Times New Roman"/>
          <w:b/>
          <w:u w:val="single"/>
        </w:rPr>
        <w:t>Payment</w:t>
      </w:r>
      <w:r w:rsidRPr="009F2F07">
        <w:rPr>
          <w:rFonts w:ascii="Times New Roman" w:eastAsia="Times New Roman" w:hAnsi="Times New Roman" w:cs="Times New Roman"/>
          <w:b/>
          <w:bCs/>
          <w:lang w:eastAsia="en-GB"/>
        </w:rPr>
        <w:t xml:space="preserve"> methods:</w:t>
      </w:r>
    </w:p>
    <w:p w:rsidR="00A26BA9" w:rsidRPr="009F2F07" w:rsidRDefault="00936611"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In order to pay the natural gas invoice, the following methods are applicable:</w:t>
      </w:r>
    </w:p>
    <w:p w:rsidR="00A26BA9" w:rsidRPr="009F2F07" w:rsidRDefault="00DB76C7"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lastRenderedPageBreak/>
        <w:t xml:space="preserve">1. </w:t>
      </w:r>
      <w:r w:rsidR="00936611" w:rsidRPr="009F2F07">
        <w:rPr>
          <w:rFonts w:ascii="Times New Roman" w:eastAsia="Times New Roman" w:hAnsi="Times New Roman" w:cs="Times New Roman"/>
          <w:lang w:eastAsia="en-GB"/>
        </w:rPr>
        <w:t>Payment order in the bank account no.</w:t>
      </w:r>
      <w:r w:rsidRPr="009F2F07">
        <w:rPr>
          <w:rFonts w:ascii="Times New Roman" w:eastAsia="Times New Roman" w:hAnsi="Times New Roman" w:cs="Times New Roman"/>
          <w:lang w:eastAsia="en-GB"/>
        </w:rPr>
        <w:t xml:space="preserve"> </w:t>
      </w:r>
      <w:r w:rsidR="00674280" w:rsidRPr="009F2F07">
        <w:rPr>
          <w:rFonts w:ascii="Times New Roman" w:eastAsia="Times New Roman" w:hAnsi="Times New Roman" w:cs="Times New Roman"/>
          <w:lang w:eastAsia="en-GB"/>
        </w:rPr>
        <w:t>RO78BACX0000001231479000 for LEI and account no. RO51BACX0000001231479001 for EUR</w:t>
      </w:r>
      <w:r w:rsidRPr="009F2F07">
        <w:rPr>
          <w:rFonts w:ascii="Times New Roman" w:eastAsia="Times New Roman" w:hAnsi="Times New Roman" w:cs="Times New Roman"/>
          <w:lang w:eastAsia="en-GB"/>
        </w:rPr>
        <w:t xml:space="preserve"> </w:t>
      </w:r>
      <w:r w:rsidR="00936611" w:rsidRPr="009F2F07">
        <w:rPr>
          <w:rFonts w:ascii="Times New Roman" w:eastAsia="Times New Roman" w:hAnsi="Times New Roman" w:cs="Times New Roman"/>
          <w:lang w:eastAsia="en-GB"/>
        </w:rPr>
        <w:t>opened with</w:t>
      </w:r>
      <w:r w:rsidRPr="009F2F07">
        <w:rPr>
          <w:rFonts w:ascii="Times New Roman" w:eastAsia="Times New Roman" w:hAnsi="Times New Roman" w:cs="Times New Roman"/>
          <w:lang w:eastAsia="en-GB"/>
        </w:rPr>
        <w:t xml:space="preserve"> </w:t>
      </w:r>
      <w:r w:rsidR="00674280" w:rsidRPr="009F2F07">
        <w:rPr>
          <w:rFonts w:ascii="Times New Roman" w:eastAsia="Times New Roman" w:hAnsi="Times New Roman" w:cs="Times New Roman"/>
          <w:lang w:eastAsia="en-GB"/>
        </w:rPr>
        <w:t>UniCredit Bank Romania.</w:t>
      </w:r>
      <w:r w:rsidR="00A26BA9" w:rsidRPr="009F2F07">
        <w:rPr>
          <w:rFonts w:ascii="Times New Roman" w:eastAsia="Times New Roman" w:hAnsi="Times New Roman" w:cs="Times New Roman"/>
          <w:lang w:eastAsia="en-GB"/>
        </w:rPr>
        <w:t>;</w:t>
      </w:r>
    </w:p>
    <w:p w:rsidR="00DB76C7" w:rsidRPr="009F2F07" w:rsidRDefault="00DB76C7" w:rsidP="009A7C62">
      <w:pPr>
        <w:spacing w:after="200" w:line="320" w:lineRule="exact"/>
        <w:jc w:val="both"/>
        <w:rPr>
          <w:rFonts w:ascii="Times New Roman" w:eastAsia="Times New Roman" w:hAnsi="Times New Roman" w:cs="Times New Roman"/>
          <w:lang w:eastAsia="en-GB"/>
        </w:rPr>
      </w:pPr>
      <w:r w:rsidRPr="009F2F07">
        <w:rPr>
          <w:rFonts w:ascii="Times New Roman" w:eastAsia="Times New Roman" w:hAnsi="Times New Roman" w:cs="Times New Roman"/>
          <w:lang w:eastAsia="en-GB"/>
        </w:rPr>
        <w:t xml:space="preserve">2. </w:t>
      </w:r>
      <w:r w:rsidR="00936611" w:rsidRPr="009F2F07">
        <w:rPr>
          <w:rFonts w:ascii="Times New Roman" w:eastAsia="Times New Roman" w:hAnsi="Times New Roman" w:cs="Times New Roman"/>
          <w:lang w:eastAsia="en-GB"/>
        </w:rPr>
        <w:t>Cash payment to any bank agency</w:t>
      </w:r>
      <w:r w:rsidR="00674280" w:rsidRPr="009F2F07">
        <w:rPr>
          <w:rFonts w:ascii="Times New Roman" w:eastAsia="Times New Roman" w:hAnsi="Times New Roman" w:cs="Times New Roman"/>
          <w:lang w:eastAsia="en-GB"/>
        </w:rPr>
        <w:t xml:space="preserve"> UniCredit Bank Romania</w:t>
      </w:r>
      <w:r w:rsidRPr="009F2F07">
        <w:rPr>
          <w:rFonts w:ascii="Times New Roman" w:eastAsia="Times New Roman" w:hAnsi="Times New Roman" w:cs="Times New Roman"/>
          <w:lang w:eastAsia="en-GB"/>
        </w:rPr>
        <w:t xml:space="preserve"> </w:t>
      </w:r>
      <w:r w:rsidR="00936611" w:rsidRPr="009F2F07">
        <w:rPr>
          <w:rFonts w:ascii="Times New Roman" w:eastAsia="Times New Roman" w:hAnsi="Times New Roman" w:cs="Times New Roman"/>
          <w:lang w:eastAsia="en-GB"/>
        </w:rPr>
        <w:t>from the country on the bank account indicated above</w:t>
      </w:r>
      <w:r w:rsidR="00A26BA9" w:rsidRPr="009F2F07">
        <w:rPr>
          <w:rFonts w:ascii="Times New Roman" w:eastAsia="Times New Roman" w:hAnsi="Times New Roman" w:cs="Times New Roman"/>
          <w:lang w:eastAsia="en-GB"/>
        </w:rPr>
        <w:t>.</w:t>
      </w:r>
    </w:p>
    <w:bookmarkEnd w:id="1"/>
    <w:p w:rsidR="00DB76C7" w:rsidRPr="009F2F07" w:rsidRDefault="00DB76C7" w:rsidP="009A7C62">
      <w:pPr>
        <w:spacing w:after="200" w:line="320" w:lineRule="exact"/>
        <w:jc w:val="both"/>
        <w:rPr>
          <w:rFonts w:ascii="Times New Roman" w:hAnsi="Times New Roman" w:cs="Times New Roman"/>
        </w:rPr>
      </w:pPr>
    </w:p>
    <w:sectPr w:rsidR="00DB76C7" w:rsidRPr="009F2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64B76"/>
    <w:multiLevelType w:val="hybridMultilevel"/>
    <w:tmpl w:val="5B8EE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94"/>
    <w:rsid w:val="00094669"/>
    <w:rsid w:val="000E128C"/>
    <w:rsid w:val="00145B94"/>
    <w:rsid w:val="002C7090"/>
    <w:rsid w:val="002F79F9"/>
    <w:rsid w:val="00393440"/>
    <w:rsid w:val="003D5979"/>
    <w:rsid w:val="00446F07"/>
    <w:rsid w:val="00452359"/>
    <w:rsid w:val="0046787C"/>
    <w:rsid w:val="005749DF"/>
    <w:rsid w:val="005D3C57"/>
    <w:rsid w:val="0065685A"/>
    <w:rsid w:val="00674280"/>
    <w:rsid w:val="007134A6"/>
    <w:rsid w:val="007171DC"/>
    <w:rsid w:val="007930E6"/>
    <w:rsid w:val="00913D63"/>
    <w:rsid w:val="00936611"/>
    <w:rsid w:val="009A7C62"/>
    <w:rsid w:val="009F2F07"/>
    <w:rsid w:val="00A103A4"/>
    <w:rsid w:val="00A26BA9"/>
    <w:rsid w:val="00AB3BC0"/>
    <w:rsid w:val="00B9359F"/>
    <w:rsid w:val="00C21640"/>
    <w:rsid w:val="00D55345"/>
    <w:rsid w:val="00D755B1"/>
    <w:rsid w:val="00DA04C8"/>
    <w:rsid w:val="00DB76C7"/>
    <w:rsid w:val="00E20CA6"/>
    <w:rsid w:val="00EA2682"/>
    <w:rsid w:val="00F47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7D826-F038-40F8-AAE5-6AE089E6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6499">
      <w:bodyDiv w:val="1"/>
      <w:marLeft w:val="0"/>
      <w:marRight w:val="0"/>
      <w:marTop w:val="0"/>
      <w:marBottom w:val="0"/>
      <w:divBdr>
        <w:top w:val="none" w:sz="0" w:space="0" w:color="auto"/>
        <w:left w:val="none" w:sz="0" w:space="0" w:color="auto"/>
        <w:bottom w:val="none" w:sz="0" w:space="0" w:color="auto"/>
        <w:right w:val="none" w:sz="0" w:space="0" w:color="auto"/>
      </w:divBdr>
      <w:divsChild>
        <w:div w:id="414398456">
          <w:marLeft w:val="0"/>
          <w:marRight w:val="0"/>
          <w:marTop w:val="0"/>
          <w:marBottom w:val="0"/>
          <w:divBdr>
            <w:top w:val="none" w:sz="0" w:space="0" w:color="auto"/>
            <w:left w:val="none" w:sz="0" w:space="0" w:color="auto"/>
            <w:bottom w:val="none" w:sz="0" w:space="0" w:color="auto"/>
            <w:right w:val="none" w:sz="0" w:space="0" w:color="auto"/>
          </w:divBdr>
          <w:divsChild>
            <w:div w:id="1501387606">
              <w:marLeft w:val="0"/>
              <w:marRight w:val="0"/>
              <w:marTop w:val="0"/>
              <w:marBottom w:val="0"/>
              <w:divBdr>
                <w:top w:val="none" w:sz="0" w:space="0" w:color="auto"/>
                <w:left w:val="none" w:sz="0" w:space="0" w:color="auto"/>
                <w:bottom w:val="none" w:sz="0" w:space="0" w:color="auto"/>
                <w:right w:val="none" w:sz="0" w:space="0" w:color="auto"/>
              </w:divBdr>
            </w:div>
            <w:div w:id="74401923">
              <w:marLeft w:val="0"/>
              <w:marRight w:val="0"/>
              <w:marTop w:val="0"/>
              <w:marBottom w:val="0"/>
              <w:divBdr>
                <w:top w:val="none" w:sz="0" w:space="0" w:color="auto"/>
                <w:left w:val="none" w:sz="0" w:space="0" w:color="auto"/>
                <w:bottom w:val="none" w:sz="0" w:space="0" w:color="auto"/>
                <w:right w:val="none" w:sz="0" w:space="0" w:color="auto"/>
              </w:divBdr>
              <w:divsChild>
                <w:div w:id="645091887">
                  <w:marLeft w:val="0"/>
                  <w:marRight w:val="0"/>
                  <w:marTop w:val="0"/>
                  <w:marBottom w:val="0"/>
                  <w:divBdr>
                    <w:top w:val="none" w:sz="0" w:space="0" w:color="auto"/>
                    <w:left w:val="none" w:sz="0" w:space="0" w:color="auto"/>
                    <w:bottom w:val="none" w:sz="0" w:space="0" w:color="auto"/>
                    <w:right w:val="none" w:sz="0" w:space="0" w:color="auto"/>
                  </w:divBdr>
                </w:div>
                <w:div w:id="2066029542">
                  <w:marLeft w:val="0"/>
                  <w:marRight w:val="0"/>
                  <w:marTop w:val="0"/>
                  <w:marBottom w:val="0"/>
                  <w:divBdr>
                    <w:top w:val="none" w:sz="0" w:space="0" w:color="auto"/>
                    <w:left w:val="none" w:sz="0" w:space="0" w:color="auto"/>
                    <w:bottom w:val="none" w:sz="0" w:space="0" w:color="auto"/>
                    <w:right w:val="none" w:sz="0" w:space="0" w:color="auto"/>
                  </w:divBdr>
                </w:div>
                <w:div w:id="1178933705">
                  <w:marLeft w:val="0"/>
                  <w:marRight w:val="0"/>
                  <w:marTop w:val="0"/>
                  <w:marBottom w:val="0"/>
                  <w:divBdr>
                    <w:top w:val="none" w:sz="0" w:space="0" w:color="auto"/>
                    <w:left w:val="none" w:sz="0" w:space="0" w:color="auto"/>
                    <w:bottom w:val="none" w:sz="0" w:space="0" w:color="auto"/>
                    <w:right w:val="none" w:sz="0" w:space="0" w:color="auto"/>
                  </w:divBdr>
                </w:div>
                <w:div w:id="1348169017">
                  <w:marLeft w:val="0"/>
                  <w:marRight w:val="0"/>
                  <w:marTop w:val="0"/>
                  <w:marBottom w:val="0"/>
                  <w:divBdr>
                    <w:top w:val="none" w:sz="0" w:space="0" w:color="auto"/>
                    <w:left w:val="none" w:sz="0" w:space="0" w:color="auto"/>
                    <w:bottom w:val="none" w:sz="0" w:space="0" w:color="auto"/>
                    <w:right w:val="none" w:sz="0" w:space="0" w:color="auto"/>
                  </w:divBdr>
                </w:div>
                <w:div w:id="1445804343">
                  <w:marLeft w:val="0"/>
                  <w:marRight w:val="0"/>
                  <w:marTop w:val="0"/>
                  <w:marBottom w:val="0"/>
                  <w:divBdr>
                    <w:top w:val="none" w:sz="0" w:space="0" w:color="auto"/>
                    <w:left w:val="none" w:sz="0" w:space="0" w:color="auto"/>
                    <w:bottom w:val="none" w:sz="0" w:space="0" w:color="auto"/>
                    <w:right w:val="none" w:sz="0" w:space="0" w:color="auto"/>
                  </w:divBdr>
                </w:div>
              </w:divsChild>
            </w:div>
            <w:div w:id="1989237133">
              <w:marLeft w:val="0"/>
              <w:marRight w:val="0"/>
              <w:marTop w:val="0"/>
              <w:marBottom w:val="0"/>
              <w:divBdr>
                <w:top w:val="none" w:sz="0" w:space="0" w:color="auto"/>
                <w:left w:val="none" w:sz="0" w:space="0" w:color="auto"/>
                <w:bottom w:val="none" w:sz="0" w:space="0" w:color="auto"/>
                <w:right w:val="none" w:sz="0" w:space="0" w:color="auto"/>
              </w:divBdr>
            </w:div>
          </w:divsChild>
        </w:div>
        <w:div w:id="1198934197">
          <w:marLeft w:val="0"/>
          <w:marRight w:val="0"/>
          <w:marTop w:val="0"/>
          <w:marBottom w:val="0"/>
          <w:divBdr>
            <w:top w:val="none" w:sz="0" w:space="0" w:color="auto"/>
            <w:left w:val="none" w:sz="0" w:space="0" w:color="auto"/>
            <w:bottom w:val="none" w:sz="0" w:space="0" w:color="auto"/>
            <w:right w:val="none" w:sz="0" w:space="0" w:color="auto"/>
          </w:divBdr>
        </w:div>
        <w:div w:id="963735521">
          <w:marLeft w:val="0"/>
          <w:marRight w:val="0"/>
          <w:marTop w:val="0"/>
          <w:marBottom w:val="0"/>
          <w:divBdr>
            <w:top w:val="none" w:sz="0" w:space="0" w:color="auto"/>
            <w:left w:val="none" w:sz="0" w:space="0" w:color="auto"/>
            <w:bottom w:val="none" w:sz="0" w:space="0" w:color="auto"/>
            <w:right w:val="none" w:sz="0" w:space="0" w:color="auto"/>
          </w:divBdr>
          <w:divsChild>
            <w:div w:id="1492604774">
              <w:marLeft w:val="0"/>
              <w:marRight w:val="0"/>
              <w:marTop w:val="0"/>
              <w:marBottom w:val="0"/>
              <w:divBdr>
                <w:top w:val="none" w:sz="0" w:space="0" w:color="auto"/>
                <w:left w:val="none" w:sz="0" w:space="0" w:color="auto"/>
                <w:bottom w:val="none" w:sz="0" w:space="0" w:color="auto"/>
                <w:right w:val="none" w:sz="0" w:space="0" w:color="auto"/>
              </w:divBdr>
            </w:div>
            <w:div w:id="1595279078">
              <w:marLeft w:val="0"/>
              <w:marRight w:val="0"/>
              <w:marTop w:val="0"/>
              <w:marBottom w:val="0"/>
              <w:divBdr>
                <w:top w:val="none" w:sz="0" w:space="0" w:color="auto"/>
                <w:left w:val="none" w:sz="0" w:space="0" w:color="auto"/>
                <w:bottom w:val="none" w:sz="0" w:space="0" w:color="auto"/>
                <w:right w:val="none" w:sz="0" w:space="0" w:color="auto"/>
              </w:divBdr>
              <w:divsChild>
                <w:div w:id="298925984">
                  <w:marLeft w:val="0"/>
                  <w:marRight w:val="0"/>
                  <w:marTop w:val="0"/>
                  <w:marBottom w:val="0"/>
                  <w:divBdr>
                    <w:top w:val="none" w:sz="0" w:space="0" w:color="auto"/>
                    <w:left w:val="none" w:sz="0" w:space="0" w:color="auto"/>
                    <w:bottom w:val="none" w:sz="0" w:space="0" w:color="auto"/>
                    <w:right w:val="none" w:sz="0" w:space="0" w:color="auto"/>
                  </w:divBdr>
                </w:div>
                <w:div w:id="2113625596">
                  <w:marLeft w:val="0"/>
                  <w:marRight w:val="0"/>
                  <w:marTop w:val="0"/>
                  <w:marBottom w:val="0"/>
                  <w:divBdr>
                    <w:top w:val="none" w:sz="0" w:space="0" w:color="auto"/>
                    <w:left w:val="none" w:sz="0" w:space="0" w:color="auto"/>
                    <w:bottom w:val="none" w:sz="0" w:space="0" w:color="auto"/>
                    <w:right w:val="none" w:sz="0" w:space="0" w:color="auto"/>
                  </w:divBdr>
                </w:div>
                <w:div w:id="1018658323">
                  <w:marLeft w:val="0"/>
                  <w:marRight w:val="0"/>
                  <w:marTop w:val="0"/>
                  <w:marBottom w:val="0"/>
                  <w:divBdr>
                    <w:top w:val="none" w:sz="0" w:space="0" w:color="auto"/>
                    <w:left w:val="none" w:sz="0" w:space="0" w:color="auto"/>
                    <w:bottom w:val="none" w:sz="0" w:space="0" w:color="auto"/>
                    <w:right w:val="none" w:sz="0" w:space="0" w:color="auto"/>
                  </w:divBdr>
                </w:div>
              </w:divsChild>
            </w:div>
            <w:div w:id="925193651">
              <w:marLeft w:val="0"/>
              <w:marRight w:val="0"/>
              <w:marTop w:val="0"/>
              <w:marBottom w:val="0"/>
              <w:divBdr>
                <w:top w:val="none" w:sz="0" w:space="0" w:color="auto"/>
                <w:left w:val="none" w:sz="0" w:space="0" w:color="auto"/>
                <w:bottom w:val="none" w:sz="0" w:space="0" w:color="auto"/>
                <w:right w:val="none" w:sz="0" w:space="0" w:color="auto"/>
              </w:divBdr>
            </w:div>
            <w:div w:id="1648238375">
              <w:marLeft w:val="0"/>
              <w:marRight w:val="0"/>
              <w:marTop w:val="0"/>
              <w:marBottom w:val="0"/>
              <w:divBdr>
                <w:top w:val="none" w:sz="0" w:space="0" w:color="auto"/>
                <w:left w:val="none" w:sz="0" w:space="0" w:color="auto"/>
                <w:bottom w:val="none" w:sz="0" w:space="0" w:color="auto"/>
                <w:right w:val="none" w:sz="0" w:space="0" w:color="auto"/>
              </w:divBdr>
            </w:div>
          </w:divsChild>
        </w:div>
        <w:div w:id="1179156280">
          <w:marLeft w:val="0"/>
          <w:marRight w:val="0"/>
          <w:marTop w:val="0"/>
          <w:marBottom w:val="0"/>
          <w:divBdr>
            <w:top w:val="none" w:sz="0" w:space="0" w:color="auto"/>
            <w:left w:val="none" w:sz="0" w:space="0" w:color="auto"/>
            <w:bottom w:val="none" w:sz="0" w:space="0" w:color="auto"/>
            <w:right w:val="none" w:sz="0" w:space="0" w:color="auto"/>
          </w:divBdr>
        </w:div>
        <w:div w:id="1356928172">
          <w:marLeft w:val="0"/>
          <w:marRight w:val="0"/>
          <w:marTop w:val="0"/>
          <w:marBottom w:val="0"/>
          <w:divBdr>
            <w:top w:val="none" w:sz="0" w:space="0" w:color="auto"/>
            <w:left w:val="none" w:sz="0" w:space="0" w:color="auto"/>
            <w:bottom w:val="none" w:sz="0" w:space="0" w:color="auto"/>
            <w:right w:val="none" w:sz="0" w:space="0" w:color="auto"/>
          </w:divBdr>
          <w:divsChild>
            <w:div w:id="1174999328">
              <w:marLeft w:val="0"/>
              <w:marRight w:val="0"/>
              <w:marTop w:val="0"/>
              <w:marBottom w:val="0"/>
              <w:divBdr>
                <w:top w:val="none" w:sz="0" w:space="0" w:color="auto"/>
                <w:left w:val="none" w:sz="0" w:space="0" w:color="auto"/>
                <w:bottom w:val="none" w:sz="0" w:space="0" w:color="auto"/>
                <w:right w:val="none" w:sz="0" w:space="0" w:color="auto"/>
              </w:divBdr>
            </w:div>
            <w:div w:id="1931430037">
              <w:marLeft w:val="0"/>
              <w:marRight w:val="0"/>
              <w:marTop w:val="0"/>
              <w:marBottom w:val="0"/>
              <w:divBdr>
                <w:top w:val="none" w:sz="0" w:space="0" w:color="auto"/>
                <w:left w:val="none" w:sz="0" w:space="0" w:color="auto"/>
                <w:bottom w:val="none" w:sz="0" w:space="0" w:color="auto"/>
                <w:right w:val="none" w:sz="0" w:space="0" w:color="auto"/>
              </w:divBdr>
            </w:div>
            <w:div w:id="547377968">
              <w:marLeft w:val="0"/>
              <w:marRight w:val="0"/>
              <w:marTop w:val="0"/>
              <w:marBottom w:val="0"/>
              <w:divBdr>
                <w:top w:val="none" w:sz="0" w:space="0" w:color="auto"/>
                <w:left w:val="none" w:sz="0" w:space="0" w:color="auto"/>
                <w:bottom w:val="none" w:sz="0" w:space="0" w:color="auto"/>
                <w:right w:val="none" w:sz="0" w:space="0" w:color="auto"/>
              </w:divBdr>
            </w:div>
            <w:div w:id="147863177">
              <w:marLeft w:val="0"/>
              <w:marRight w:val="0"/>
              <w:marTop w:val="0"/>
              <w:marBottom w:val="0"/>
              <w:divBdr>
                <w:top w:val="none" w:sz="0" w:space="0" w:color="auto"/>
                <w:left w:val="none" w:sz="0" w:space="0" w:color="auto"/>
                <w:bottom w:val="none" w:sz="0" w:space="0" w:color="auto"/>
                <w:right w:val="none" w:sz="0" w:space="0" w:color="auto"/>
              </w:divBdr>
            </w:div>
            <w:div w:id="796609214">
              <w:marLeft w:val="0"/>
              <w:marRight w:val="0"/>
              <w:marTop w:val="0"/>
              <w:marBottom w:val="0"/>
              <w:divBdr>
                <w:top w:val="none" w:sz="0" w:space="0" w:color="auto"/>
                <w:left w:val="none" w:sz="0" w:space="0" w:color="auto"/>
                <w:bottom w:val="none" w:sz="0" w:space="0" w:color="auto"/>
                <w:right w:val="none" w:sz="0" w:space="0" w:color="auto"/>
              </w:divBdr>
            </w:div>
            <w:div w:id="146290561">
              <w:marLeft w:val="0"/>
              <w:marRight w:val="0"/>
              <w:marTop w:val="0"/>
              <w:marBottom w:val="0"/>
              <w:divBdr>
                <w:top w:val="none" w:sz="0" w:space="0" w:color="auto"/>
                <w:left w:val="none" w:sz="0" w:space="0" w:color="auto"/>
                <w:bottom w:val="none" w:sz="0" w:space="0" w:color="auto"/>
                <w:right w:val="none" w:sz="0" w:space="0" w:color="auto"/>
              </w:divBdr>
            </w:div>
            <w:div w:id="1745487192">
              <w:marLeft w:val="0"/>
              <w:marRight w:val="0"/>
              <w:marTop w:val="0"/>
              <w:marBottom w:val="0"/>
              <w:divBdr>
                <w:top w:val="none" w:sz="0" w:space="0" w:color="auto"/>
                <w:left w:val="none" w:sz="0" w:space="0" w:color="auto"/>
                <w:bottom w:val="none" w:sz="0" w:space="0" w:color="auto"/>
                <w:right w:val="none" w:sz="0" w:space="0" w:color="auto"/>
              </w:divBdr>
            </w:div>
            <w:div w:id="2061516928">
              <w:marLeft w:val="0"/>
              <w:marRight w:val="0"/>
              <w:marTop w:val="0"/>
              <w:marBottom w:val="0"/>
              <w:divBdr>
                <w:top w:val="none" w:sz="0" w:space="0" w:color="auto"/>
                <w:left w:val="none" w:sz="0" w:space="0" w:color="auto"/>
                <w:bottom w:val="none" w:sz="0" w:space="0" w:color="auto"/>
                <w:right w:val="none" w:sz="0" w:space="0" w:color="auto"/>
              </w:divBdr>
            </w:div>
            <w:div w:id="2956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8237">
      <w:bodyDiv w:val="1"/>
      <w:marLeft w:val="0"/>
      <w:marRight w:val="0"/>
      <w:marTop w:val="0"/>
      <w:marBottom w:val="0"/>
      <w:divBdr>
        <w:top w:val="none" w:sz="0" w:space="0" w:color="auto"/>
        <w:left w:val="none" w:sz="0" w:space="0" w:color="auto"/>
        <w:bottom w:val="none" w:sz="0" w:space="0" w:color="auto"/>
        <w:right w:val="none" w:sz="0" w:space="0" w:color="auto"/>
      </w:divBdr>
    </w:div>
    <w:div w:id="1097406308">
      <w:bodyDiv w:val="1"/>
      <w:marLeft w:val="0"/>
      <w:marRight w:val="0"/>
      <w:marTop w:val="0"/>
      <w:marBottom w:val="0"/>
      <w:divBdr>
        <w:top w:val="none" w:sz="0" w:space="0" w:color="auto"/>
        <w:left w:val="none" w:sz="0" w:space="0" w:color="auto"/>
        <w:bottom w:val="none" w:sz="0" w:space="0" w:color="auto"/>
        <w:right w:val="none" w:sz="0" w:space="0" w:color="auto"/>
      </w:divBdr>
      <w:divsChild>
        <w:div w:id="61948533">
          <w:marLeft w:val="0"/>
          <w:marRight w:val="0"/>
          <w:marTop w:val="0"/>
          <w:marBottom w:val="0"/>
          <w:divBdr>
            <w:top w:val="none" w:sz="0" w:space="0" w:color="auto"/>
            <w:left w:val="none" w:sz="0" w:space="0" w:color="auto"/>
            <w:bottom w:val="none" w:sz="0" w:space="0" w:color="auto"/>
            <w:right w:val="none" w:sz="0" w:space="0" w:color="auto"/>
          </w:divBdr>
        </w:div>
        <w:div w:id="307906597">
          <w:marLeft w:val="0"/>
          <w:marRight w:val="0"/>
          <w:marTop w:val="0"/>
          <w:marBottom w:val="0"/>
          <w:divBdr>
            <w:top w:val="none" w:sz="0" w:space="0" w:color="auto"/>
            <w:left w:val="none" w:sz="0" w:space="0" w:color="auto"/>
            <w:bottom w:val="none" w:sz="0" w:space="0" w:color="auto"/>
            <w:right w:val="none" w:sz="0" w:space="0" w:color="auto"/>
          </w:divBdr>
          <w:divsChild>
            <w:div w:id="322783686">
              <w:marLeft w:val="0"/>
              <w:marRight w:val="0"/>
              <w:marTop w:val="0"/>
              <w:marBottom w:val="0"/>
              <w:divBdr>
                <w:top w:val="none" w:sz="0" w:space="0" w:color="auto"/>
                <w:left w:val="none" w:sz="0" w:space="0" w:color="auto"/>
                <w:bottom w:val="none" w:sz="0" w:space="0" w:color="auto"/>
                <w:right w:val="none" w:sz="0" w:space="0" w:color="auto"/>
              </w:divBdr>
            </w:div>
            <w:div w:id="1598908335">
              <w:marLeft w:val="0"/>
              <w:marRight w:val="0"/>
              <w:marTop w:val="0"/>
              <w:marBottom w:val="0"/>
              <w:divBdr>
                <w:top w:val="none" w:sz="0" w:space="0" w:color="auto"/>
                <w:left w:val="none" w:sz="0" w:space="0" w:color="auto"/>
                <w:bottom w:val="none" w:sz="0" w:space="0" w:color="auto"/>
                <w:right w:val="none" w:sz="0" w:space="0" w:color="auto"/>
              </w:divBdr>
              <w:divsChild>
                <w:div w:id="1269236702">
                  <w:marLeft w:val="0"/>
                  <w:marRight w:val="0"/>
                  <w:marTop w:val="0"/>
                  <w:marBottom w:val="0"/>
                  <w:divBdr>
                    <w:top w:val="none" w:sz="0" w:space="0" w:color="auto"/>
                    <w:left w:val="none" w:sz="0" w:space="0" w:color="auto"/>
                    <w:bottom w:val="none" w:sz="0" w:space="0" w:color="auto"/>
                    <w:right w:val="none" w:sz="0" w:space="0" w:color="auto"/>
                  </w:divBdr>
                </w:div>
              </w:divsChild>
            </w:div>
            <w:div w:id="1444304682">
              <w:marLeft w:val="0"/>
              <w:marRight w:val="0"/>
              <w:marTop w:val="0"/>
              <w:marBottom w:val="0"/>
              <w:divBdr>
                <w:top w:val="none" w:sz="0" w:space="0" w:color="auto"/>
                <w:left w:val="none" w:sz="0" w:space="0" w:color="auto"/>
                <w:bottom w:val="none" w:sz="0" w:space="0" w:color="auto"/>
                <w:right w:val="none" w:sz="0" w:space="0" w:color="auto"/>
              </w:divBdr>
            </w:div>
            <w:div w:id="1930694405">
              <w:marLeft w:val="0"/>
              <w:marRight w:val="0"/>
              <w:marTop w:val="0"/>
              <w:marBottom w:val="0"/>
              <w:divBdr>
                <w:top w:val="none" w:sz="0" w:space="0" w:color="auto"/>
                <w:left w:val="none" w:sz="0" w:space="0" w:color="auto"/>
                <w:bottom w:val="none" w:sz="0" w:space="0" w:color="auto"/>
                <w:right w:val="none" w:sz="0" w:space="0" w:color="auto"/>
              </w:divBdr>
              <w:divsChild>
                <w:div w:id="2014800319">
                  <w:marLeft w:val="0"/>
                  <w:marRight w:val="0"/>
                  <w:marTop w:val="0"/>
                  <w:marBottom w:val="0"/>
                  <w:divBdr>
                    <w:top w:val="none" w:sz="0" w:space="0" w:color="auto"/>
                    <w:left w:val="none" w:sz="0" w:space="0" w:color="auto"/>
                    <w:bottom w:val="none" w:sz="0" w:space="0" w:color="auto"/>
                    <w:right w:val="none" w:sz="0" w:space="0" w:color="auto"/>
                  </w:divBdr>
                </w:div>
              </w:divsChild>
            </w:div>
            <w:div w:id="986013880">
              <w:marLeft w:val="0"/>
              <w:marRight w:val="0"/>
              <w:marTop w:val="0"/>
              <w:marBottom w:val="0"/>
              <w:divBdr>
                <w:top w:val="none" w:sz="0" w:space="0" w:color="auto"/>
                <w:left w:val="none" w:sz="0" w:space="0" w:color="auto"/>
                <w:bottom w:val="none" w:sz="0" w:space="0" w:color="auto"/>
                <w:right w:val="none" w:sz="0" w:space="0" w:color="auto"/>
              </w:divBdr>
            </w:div>
            <w:div w:id="437867910">
              <w:marLeft w:val="0"/>
              <w:marRight w:val="0"/>
              <w:marTop w:val="0"/>
              <w:marBottom w:val="0"/>
              <w:divBdr>
                <w:top w:val="none" w:sz="0" w:space="0" w:color="auto"/>
                <w:left w:val="none" w:sz="0" w:space="0" w:color="auto"/>
                <w:bottom w:val="none" w:sz="0" w:space="0" w:color="auto"/>
                <w:right w:val="none" w:sz="0" w:space="0" w:color="auto"/>
              </w:divBdr>
              <w:divsChild>
                <w:div w:id="187984682">
                  <w:marLeft w:val="0"/>
                  <w:marRight w:val="0"/>
                  <w:marTop w:val="0"/>
                  <w:marBottom w:val="0"/>
                  <w:divBdr>
                    <w:top w:val="none" w:sz="0" w:space="0" w:color="auto"/>
                    <w:left w:val="none" w:sz="0" w:space="0" w:color="auto"/>
                    <w:bottom w:val="none" w:sz="0" w:space="0" w:color="auto"/>
                    <w:right w:val="none" w:sz="0" w:space="0" w:color="auto"/>
                  </w:divBdr>
                </w:div>
                <w:div w:id="2097894897">
                  <w:marLeft w:val="0"/>
                  <w:marRight w:val="0"/>
                  <w:marTop w:val="0"/>
                  <w:marBottom w:val="0"/>
                  <w:divBdr>
                    <w:top w:val="none" w:sz="0" w:space="0" w:color="auto"/>
                    <w:left w:val="none" w:sz="0" w:space="0" w:color="auto"/>
                    <w:bottom w:val="none" w:sz="0" w:space="0" w:color="auto"/>
                    <w:right w:val="none" w:sz="0" w:space="0" w:color="auto"/>
                  </w:divBdr>
                  <w:divsChild>
                    <w:div w:id="1351758163">
                      <w:marLeft w:val="0"/>
                      <w:marRight w:val="0"/>
                      <w:marTop w:val="0"/>
                      <w:marBottom w:val="0"/>
                      <w:divBdr>
                        <w:top w:val="none" w:sz="0" w:space="0" w:color="auto"/>
                        <w:left w:val="none" w:sz="0" w:space="0" w:color="auto"/>
                        <w:bottom w:val="none" w:sz="0" w:space="0" w:color="auto"/>
                        <w:right w:val="none" w:sz="0" w:space="0" w:color="auto"/>
                      </w:divBdr>
                    </w:div>
                    <w:div w:id="1089430618">
                      <w:marLeft w:val="0"/>
                      <w:marRight w:val="0"/>
                      <w:marTop w:val="0"/>
                      <w:marBottom w:val="0"/>
                      <w:divBdr>
                        <w:top w:val="none" w:sz="0" w:space="0" w:color="auto"/>
                        <w:left w:val="none" w:sz="0" w:space="0" w:color="auto"/>
                        <w:bottom w:val="none" w:sz="0" w:space="0" w:color="auto"/>
                        <w:right w:val="none" w:sz="0" w:space="0" w:color="auto"/>
                      </w:divBdr>
                    </w:div>
                  </w:divsChild>
                </w:div>
                <w:div w:id="626276523">
                  <w:marLeft w:val="0"/>
                  <w:marRight w:val="0"/>
                  <w:marTop w:val="0"/>
                  <w:marBottom w:val="0"/>
                  <w:divBdr>
                    <w:top w:val="none" w:sz="0" w:space="0" w:color="auto"/>
                    <w:left w:val="none" w:sz="0" w:space="0" w:color="auto"/>
                    <w:bottom w:val="none" w:sz="0" w:space="0" w:color="auto"/>
                    <w:right w:val="none" w:sz="0" w:space="0" w:color="auto"/>
                  </w:divBdr>
                </w:div>
              </w:divsChild>
            </w:div>
            <w:div w:id="120265851">
              <w:marLeft w:val="0"/>
              <w:marRight w:val="0"/>
              <w:marTop w:val="0"/>
              <w:marBottom w:val="0"/>
              <w:divBdr>
                <w:top w:val="none" w:sz="0" w:space="0" w:color="auto"/>
                <w:left w:val="none" w:sz="0" w:space="0" w:color="auto"/>
                <w:bottom w:val="none" w:sz="0" w:space="0" w:color="auto"/>
                <w:right w:val="none" w:sz="0" w:space="0" w:color="auto"/>
              </w:divBdr>
            </w:div>
            <w:div w:id="1025596494">
              <w:marLeft w:val="0"/>
              <w:marRight w:val="0"/>
              <w:marTop w:val="0"/>
              <w:marBottom w:val="0"/>
              <w:divBdr>
                <w:top w:val="none" w:sz="0" w:space="0" w:color="auto"/>
                <w:left w:val="none" w:sz="0" w:space="0" w:color="auto"/>
                <w:bottom w:val="none" w:sz="0" w:space="0" w:color="auto"/>
                <w:right w:val="none" w:sz="0" w:space="0" w:color="auto"/>
              </w:divBdr>
              <w:divsChild>
                <w:div w:id="987127242">
                  <w:marLeft w:val="0"/>
                  <w:marRight w:val="0"/>
                  <w:marTop w:val="0"/>
                  <w:marBottom w:val="0"/>
                  <w:divBdr>
                    <w:top w:val="none" w:sz="0" w:space="0" w:color="auto"/>
                    <w:left w:val="none" w:sz="0" w:space="0" w:color="auto"/>
                    <w:bottom w:val="none" w:sz="0" w:space="0" w:color="auto"/>
                    <w:right w:val="none" w:sz="0" w:space="0" w:color="auto"/>
                  </w:divBdr>
                </w:div>
                <w:div w:id="900022964">
                  <w:marLeft w:val="0"/>
                  <w:marRight w:val="0"/>
                  <w:marTop w:val="0"/>
                  <w:marBottom w:val="0"/>
                  <w:divBdr>
                    <w:top w:val="none" w:sz="0" w:space="0" w:color="auto"/>
                    <w:left w:val="none" w:sz="0" w:space="0" w:color="auto"/>
                    <w:bottom w:val="none" w:sz="0" w:space="0" w:color="auto"/>
                    <w:right w:val="none" w:sz="0" w:space="0" w:color="auto"/>
                  </w:divBdr>
                </w:div>
                <w:div w:id="911887913">
                  <w:marLeft w:val="0"/>
                  <w:marRight w:val="0"/>
                  <w:marTop w:val="0"/>
                  <w:marBottom w:val="0"/>
                  <w:divBdr>
                    <w:top w:val="none" w:sz="0" w:space="0" w:color="auto"/>
                    <w:left w:val="none" w:sz="0" w:space="0" w:color="auto"/>
                    <w:bottom w:val="none" w:sz="0" w:space="0" w:color="auto"/>
                    <w:right w:val="none" w:sz="0" w:space="0" w:color="auto"/>
                  </w:divBdr>
                  <w:divsChild>
                    <w:div w:id="332337407">
                      <w:marLeft w:val="0"/>
                      <w:marRight w:val="0"/>
                      <w:marTop w:val="0"/>
                      <w:marBottom w:val="0"/>
                      <w:divBdr>
                        <w:top w:val="none" w:sz="0" w:space="0" w:color="auto"/>
                        <w:left w:val="none" w:sz="0" w:space="0" w:color="auto"/>
                        <w:bottom w:val="none" w:sz="0" w:space="0" w:color="auto"/>
                        <w:right w:val="none" w:sz="0" w:space="0" w:color="auto"/>
                      </w:divBdr>
                    </w:div>
                    <w:div w:id="183445231">
                      <w:marLeft w:val="0"/>
                      <w:marRight w:val="0"/>
                      <w:marTop w:val="0"/>
                      <w:marBottom w:val="0"/>
                      <w:divBdr>
                        <w:top w:val="none" w:sz="0" w:space="0" w:color="auto"/>
                        <w:left w:val="none" w:sz="0" w:space="0" w:color="auto"/>
                        <w:bottom w:val="none" w:sz="0" w:space="0" w:color="auto"/>
                        <w:right w:val="none" w:sz="0" w:space="0" w:color="auto"/>
                      </w:divBdr>
                    </w:div>
                  </w:divsChild>
                </w:div>
                <w:div w:id="118649579">
                  <w:marLeft w:val="0"/>
                  <w:marRight w:val="0"/>
                  <w:marTop w:val="0"/>
                  <w:marBottom w:val="0"/>
                  <w:divBdr>
                    <w:top w:val="none" w:sz="0" w:space="0" w:color="auto"/>
                    <w:left w:val="none" w:sz="0" w:space="0" w:color="auto"/>
                    <w:bottom w:val="none" w:sz="0" w:space="0" w:color="auto"/>
                    <w:right w:val="none" w:sz="0" w:space="0" w:color="auto"/>
                  </w:divBdr>
                </w:div>
              </w:divsChild>
            </w:div>
            <w:div w:id="1081365604">
              <w:marLeft w:val="0"/>
              <w:marRight w:val="0"/>
              <w:marTop w:val="0"/>
              <w:marBottom w:val="0"/>
              <w:divBdr>
                <w:top w:val="none" w:sz="0" w:space="0" w:color="auto"/>
                <w:left w:val="none" w:sz="0" w:space="0" w:color="auto"/>
                <w:bottom w:val="none" w:sz="0" w:space="0" w:color="auto"/>
                <w:right w:val="none" w:sz="0" w:space="0" w:color="auto"/>
              </w:divBdr>
            </w:div>
            <w:div w:id="1779638018">
              <w:marLeft w:val="0"/>
              <w:marRight w:val="0"/>
              <w:marTop w:val="0"/>
              <w:marBottom w:val="0"/>
              <w:divBdr>
                <w:top w:val="none" w:sz="0" w:space="0" w:color="auto"/>
                <w:left w:val="none" w:sz="0" w:space="0" w:color="auto"/>
                <w:bottom w:val="none" w:sz="0" w:space="0" w:color="auto"/>
                <w:right w:val="none" w:sz="0" w:space="0" w:color="auto"/>
              </w:divBdr>
              <w:divsChild>
                <w:div w:id="722489011">
                  <w:marLeft w:val="0"/>
                  <w:marRight w:val="0"/>
                  <w:marTop w:val="0"/>
                  <w:marBottom w:val="0"/>
                  <w:divBdr>
                    <w:top w:val="none" w:sz="0" w:space="0" w:color="auto"/>
                    <w:left w:val="none" w:sz="0" w:space="0" w:color="auto"/>
                    <w:bottom w:val="none" w:sz="0" w:space="0" w:color="auto"/>
                    <w:right w:val="none" w:sz="0" w:space="0" w:color="auto"/>
                  </w:divBdr>
                </w:div>
                <w:div w:id="647051813">
                  <w:marLeft w:val="0"/>
                  <w:marRight w:val="0"/>
                  <w:marTop w:val="0"/>
                  <w:marBottom w:val="0"/>
                  <w:divBdr>
                    <w:top w:val="none" w:sz="0" w:space="0" w:color="auto"/>
                    <w:left w:val="none" w:sz="0" w:space="0" w:color="auto"/>
                    <w:bottom w:val="none" w:sz="0" w:space="0" w:color="auto"/>
                    <w:right w:val="none" w:sz="0" w:space="0" w:color="auto"/>
                  </w:divBdr>
                  <w:divsChild>
                    <w:div w:id="1309093076">
                      <w:marLeft w:val="0"/>
                      <w:marRight w:val="0"/>
                      <w:marTop w:val="0"/>
                      <w:marBottom w:val="0"/>
                      <w:divBdr>
                        <w:top w:val="none" w:sz="0" w:space="0" w:color="auto"/>
                        <w:left w:val="none" w:sz="0" w:space="0" w:color="auto"/>
                        <w:bottom w:val="none" w:sz="0" w:space="0" w:color="auto"/>
                        <w:right w:val="none" w:sz="0" w:space="0" w:color="auto"/>
                      </w:divBdr>
                    </w:div>
                    <w:div w:id="1385443756">
                      <w:marLeft w:val="0"/>
                      <w:marRight w:val="0"/>
                      <w:marTop w:val="0"/>
                      <w:marBottom w:val="0"/>
                      <w:divBdr>
                        <w:top w:val="none" w:sz="0" w:space="0" w:color="auto"/>
                        <w:left w:val="none" w:sz="0" w:space="0" w:color="auto"/>
                        <w:bottom w:val="none" w:sz="0" w:space="0" w:color="auto"/>
                        <w:right w:val="none" w:sz="0" w:space="0" w:color="auto"/>
                      </w:divBdr>
                    </w:div>
                  </w:divsChild>
                </w:div>
                <w:div w:id="632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2490">
      <w:bodyDiv w:val="1"/>
      <w:marLeft w:val="0"/>
      <w:marRight w:val="0"/>
      <w:marTop w:val="0"/>
      <w:marBottom w:val="0"/>
      <w:divBdr>
        <w:top w:val="none" w:sz="0" w:space="0" w:color="auto"/>
        <w:left w:val="none" w:sz="0" w:space="0" w:color="auto"/>
        <w:bottom w:val="none" w:sz="0" w:space="0" w:color="auto"/>
        <w:right w:val="none" w:sz="0" w:space="0" w:color="auto"/>
      </w:divBdr>
      <w:divsChild>
        <w:div w:id="814102764">
          <w:marLeft w:val="0"/>
          <w:marRight w:val="0"/>
          <w:marTop w:val="0"/>
          <w:marBottom w:val="0"/>
          <w:divBdr>
            <w:top w:val="none" w:sz="0" w:space="0" w:color="auto"/>
            <w:left w:val="none" w:sz="0" w:space="0" w:color="auto"/>
            <w:bottom w:val="none" w:sz="0" w:space="0" w:color="auto"/>
            <w:right w:val="none" w:sz="0" w:space="0" w:color="auto"/>
          </w:divBdr>
        </w:div>
        <w:div w:id="522938840">
          <w:marLeft w:val="0"/>
          <w:marRight w:val="0"/>
          <w:marTop w:val="0"/>
          <w:marBottom w:val="0"/>
          <w:divBdr>
            <w:top w:val="none" w:sz="0" w:space="0" w:color="auto"/>
            <w:left w:val="none" w:sz="0" w:space="0" w:color="auto"/>
            <w:bottom w:val="none" w:sz="0" w:space="0" w:color="auto"/>
            <w:right w:val="none" w:sz="0" w:space="0" w:color="auto"/>
          </w:divBdr>
          <w:divsChild>
            <w:div w:id="1610353712">
              <w:marLeft w:val="0"/>
              <w:marRight w:val="0"/>
              <w:marTop w:val="0"/>
              <w:marBottom w:val="0"/>
              <w:divBdr>
                <w:top w:val="none" w:sz="0" w:space="0" w:color="auto"/>
                <w:left w:val="none" w:sz="0" w:space="0" w:color="auto"/>
                <w:bottom w:val="none" w:sz="0" w:space="0" w:color="auto"/>
                <w:right w:val="none" w:sz="0" w:space="0" w:color="auto"/>
              </w:divBdr>
            </w:div>
            <w:div w:id="99419121">
              <w:marLeft w:val="0"/>
              <w:marRight w:val="0"/>
              <w:marTop w:val="0"/>
              <w:marBottom w:val="0"/>
              <w:divBdr>
                <w:top w:val="none" w:sz="0" w:space="0" w:color="auto"/>
                <w:left w:val="none" w:sz="0" w:space="0" w:color="auto"/>
                <w:bottom w:val="none" w:sz="0" w:space="0" w:color="auto"/>
                <w:right w:val="none" w:sz="0" w:space="0" w:color="auto"/>
              </w:divBdr>
            </w:div>
            <w:div w:id="903639502">
              <w:marLeft w:val="0"/>
              <w:marRight w:val="0"/>
              <w:marTop w:val="0"/>
              <w:marBottom w:val="0"/>
              <w:divBdr>
                <w:top w:val="none" w:sz="0" w:space="0" w:color="auto"/>
                <w:left w:val="none" w:sz="0" w:space="0" w:color="auto"/>
                <w:bottom w:val="none" w:sz="0" w:space="0" w:color="auto"/>
                <w:right w:val="none" w:sz="0" w:space="0" w:color="auto"/>
              </w:divBdr>
            </w:div>
            <w:div w:id="327757797">
              <w:marLeft w:val="0"/>
              <w:marRight w:val="0"/>
              <w:marTop w:val="0"/>
              <w:marBottom w:val="0"/>
              <w:divBdr>
                <w:top w:val="none" w:sz="0" w:space="0" w:color="auto"/>
                <w:left w:val="none" w:sz="0" w:space="0" w:color="auto"/>
                <w:bottom w:val="none" w:sz="0" w:space="0" w:color="auto"/>
                <w:right w:val="none" w:sz="0" w:space="0" w:color="auto"/>
              </w:divBdr>
            </w:div>
            <w:div w:id="1894921356">
              <w:marLeft w:val="0"/>
              <w:marRight w:val="0"/>
              <w:marTop w:val="0"/>
              <w:marBottom w:val="0"/>
              <w:divBdr>
                <w:top w:val="none" w:sz="0" w:space="0" w:color="auto"/>
                <w:left w:val="none" w:sz="0" w:space="0" w:color="auto"/>
                <w:bottom w:val="none" w:sz="0" w:space="0" w:color="auto"/>
                <w:right w:val="none" w:sz="0" w:space="0" w:color="auto"/>
              </w:divBdr>
            </w:div>
            <w:div w:id="1845702205">
              <w:marLeft w:val="0"/>
              <w:marRight w:val="0"/>
              <w:marTop w:val="0"/>
              <w:marBottom w:val="0"/>
              <w:divBdr>
                <w:top w:val="none" w:sz="0" w:space="0" w:color="auto"/>
                <w:left w:val="none" w:sz="0" w:space="0" w:color="auto"/>
                <w:bottom w:val="none" w:sz="0" w:space="0" w:color="auto"/>
                <w:right w:val="none" w:sz="0" w:space="0" w:color="auto"/>
              </w:divBdr>
            </w:div>
            <w:div w:id="44573178">
              <w:marLeft w:val="0"/>
              <w:marRight w:val="0"/>
              <w:marTop w:val="0"/>
              <w:marBottom w:val="0"/>
              <w:divBdr>
                <w:top w:val="none" w:sz="0" w:space="0" w:color="auto"/>
                <w:left w:val="none" w:sz="0" w:space="0" w:color="auto"/>
                <w:bottom w:val="none" w:sz="0" w:space="0" w:color="auto"/>
                <w:right w:val="none" w:sz="0" w:space="0" w:color="auto"/>
              </w:divBdr>
            </w:div>
            <w:div w:id="1947736225">
              <w:marLeft w:val="0"/>
              <w:marRight w:val="0"/>
              <w:marTop w:val="0"/>
              <w:marBottom w:val="0"/>
              <w:divBdr>
                <w:top w:val="none" w:sz="0" w:space="0" w:color="auto"/>
                <w:left w:val="none" w:sz="0" w:space="0" w:color="auto"/>
                <w:bottom w:val="none" w:sz="0" w:space="0" w:color="auto"/>
                <w:right w:val="none" w:sz="0" w:space="0" w:color="auto"/>
              </w:divBdr>
            </w:div>
            <w:div w:id="1444499996">
              <w:marLeft w:val="0"/>
              <w:marRight w:val="0"/>
              <w:marTop w:val="0"/>
              <w:marBottom w:val="0"/>
              <w:divBdr>
                <w:top w:val="none" w:sz="0" w:space="0" w:color="auto"/>
                <w:left w:val="none" w:sz="0" w:space="0" w:color="auto"/>
                <w:bottom w:val="none" w:sz="0" w:space="0" w:color="auto"/>
                <w:right w:val="none" w:sz="0" w:space="0" w:color="auto"/>
              </w:divBdr>
            </w:div>
            <w:div w:id="602690559">
              <w:marLeft w:val="0"/>
              <w:marRight w:val="0"/>
              <w:marTop w:val="0"/>
              <w:marBottom w:val="0"/>
              <w:divBdr>
                <w:top w:val="none" w:sz="0" w:space="0" w:color="auto"/>
                <w:left w:val="none" w:sz="0" w:space="0" w:color="auto"/>
                <w:bottom w:val="none" w:sz="0" w:space="0" w:color="auto"/>
                <w:right w:val="none" w:sz="0" w:space="0" w:color="auto"/>
              </w:divBdr>
            </w:div>
            <w:div w:id="2039504082">
              <w:marLeft w:val="0"/>
              <w:marRight w:val="0"/>
              <w:marTop w:val="0"/>
              <w:marBottom w:val="0"/>
              <w:divBdr>
                <w:top w:val="none" w:sz="0" w:space="0" w:color="auto"/>
                <w:left w:val="none" w:sz="0" w:space="0" w:color="auto"/>
                <w:bottom w:val="none" w:sz="0" w:space="0" w:color="auto"/>
                <w:right w:val="none" w:sz="0" w:space="0" w:color="auto"/>
              </w:divBdr>
            </w:div>
            <w:div w:id="278416198">
              <w:marLeft w:val="0"/>
              <w:marRight w:val="0"/>
              <w:marTop w:val="0"/>
              <w:marBottom w:val="0"/>
              <w:divBdr>
                <w:top w:val="none" w:sz="0" w:space="0" w:color="auto"/>
                <w:left w:val="none" w:sz="0" w:space="0" w:color="auto"/>
                <w:bottom w:val="none" w:sz="0" w:space="0" w:color="auto"/>
                <w:right w:val="none" w:sz="0" w:space="0" w:color="auto"/>
              </w:divBdr>
            </w:div>
            <w:div w:id="1639218886">
              <w:marLeft w:val="0"/>
              <w:marRight w:val="0"/>
              <w:marTop w:val="0"/>
              <w:marBottom w:val="0"/>
              <w:divBdr>
                <w:top w:val="none" w:sz="0" w:space="0" w:color="auto"/>
                <w:left w:val="none" w:sz="0" w:space="0" w:color="auto"/>
                <w:bottom w:val="none" w:sz="0" w:space="0" w:color="auto"/>
                <w:right w:val="none" w:sz="0" w:space="0" w:color="auto"/>
              </w:divBdr>
            </w:div>
            <w:div w:id="792791350">
              <w:marLeft w:val="0"/>
              <w:marRight w:val="0"/>
              <w:marTop w:val="0"/>
              <w:marBottom w:val="0"/>
              <w:divBdr>
                <w:top w:val="none" w:sz="0" w:space="0" w:color="auto"/>
                <w:left w:val="none" w:sz="0" w:space="0" w:color="auto"/>
                <w:bottom w:val="none" w:sz="0" w:space="0" w:color="auto"/>
                <w:right w:val="none" w:sz="0" w:space="0" w:color="auto"/>
              </w:divBdr>
            </w:div>
            <w:div w:id="1622111881">
              <w:marLeft w:val="0"/>
              <w:marRight w:val="0"/>
              <w:marTop w:val="0"/>
              <w:marBottom w:val="0"/>
              <w:divBdr>
                <w:top w:val="none" w:sz="0" w:space="0" w:color="auto"/>
                <w:left w:val="none" w:sz="0" w:space="0" w:color="auto"/>
                <w:bottom w:val="none" w:sz="0" w:space="0" w:color="auto"/>
                <w:right w:val="none" w:sz="0" w:space="0" w:color="auto"/>
              </w:divBdr>
            </w:div>
            <w:div w:id="354187030">
              <w:marLeft w:val="0"/>
              <w:marRight w:val="0"/>
              <w:marTop w:val="0"/>
              <w:marBottom w:val="0"/>
              <w:divBdr>
                <w:top w:val="none" w:sz="0" w:space="0" w:color="auto"/>
                <w:left w:val="none" w:sz="0" w:space="0" w:color="auto"/>
                <w:bottom w:val="none" w:sz="0" w:space="0" w:color="auto"/>
                <w:right w:val="none" w:sz="0" w:space="0" w:color="auto"/>
              </w:divBdr>
            </w:div>
            <w:div w:id="744495896">
              <w:marLeft w:val="0"/>
              <w:marRight w:val="0"/>
              <w:marTop w:val="0"/>
              <w:marBottom w:val="0"/>
              <w:divBdr>
                <w:top w:val="none" w:sz="0" w:space="0" w:color="auto"/>
                <w:left w:val="none" w:sz="0" w:space="0" w:color="auto"/>
                <w:bottom w:val="none" w:sz="0" w:space="0" w:color="auto"/>
                <w:right w:val="none" w:sz="0" w:space="0" w:color="auto"/>
              </w:divBdr>
            </w:div>
            <w:div w:id="1864784909">
              <w:marLeft w:val="0"/>
              <w:marRight w:val="0"/>
              <w:marTop w:val="0"/>
              <w:marBottom w:val="0"/>
              <w:divBdr>
                <w:top w:val="none" w:sz="0" w:space="0" w:color="auto"/>
                <w:left w:val="none" w:sz="0" w:space="0" w:color="auto"/>
                <w:bottom w:val="none" w:sz="0" w:space="0" w:color="auto"/>
                <w:right w:val="none" w:sz="0" w:space="0" w:color="auto"/>
              </w:divBdr>
            </w:div>
            <w:div w:id="348609029">
              <w:marLeft w:val="0"/>
              <w:marRight w:val="0"/>
              <w:marTop w:val="0"/>
              <w:marBottom w:val="0"/>
              <w:divBdr>
                <w:top w:val="none" w:sz="0" w:space="0" w:color="auto"/>
                <w:left w:val="none" w:sz="0" w:space="0" w:color="auto"/>
                <w:bottom w:val="none" w:sz="0" w:space="0" w:color="auto"/>
                <w:right w:val="none" w:sz="0" w:space="0" w:color="auto"/>
              </w:divBdr>
            </w:div>
            <w:div w:id="40328742">
              <w:marLeft w:val="0"/>
              <w:marRight w:val="0"/>
              <w:marTop w:val="0"/>
              <w:marBottom w:val="0"/>
              <w:divBdr>
                <w:top w:val="none" w:sz="0" w:space="0" w:color="auto"/>
                <w:left w:val="none" w:sz="0" w:space="0" w:color="auto"/>
                <w:bottom w:val="none" w:sz="0" w:space="0" w:color="auto"/>
                <w:right w:val="none" w:sz="0" w:space="0" w:color="auto"/>
              </w:divBdr>
            </w:div>
            <w:div w:id="1861891747">
              <w:marLeft w:val="0"/>
              <w:marRight w:val="0"/>
              <w:marTop w:val="0"/>
              <w:marBottom w:val="0"/>
              <w:divBdr>
                <w:top w:val="none" w:sz="0" w:space="0" w:color="auto"/>
                <w:left w:val="none" w:sz="0" w:space="0" w:color="auto"/>
                <w:bottom w:val="none" w:sz="0" w:space="0" w:color="auto"/>
                <w:right w:val="none" w:sz="0" w:space="0" w:color="auto"/>
              </w:divBdr>
            </w:div>
            <w:div w:id="488834456">
              <w:marLeft w:val="0"/>
              <w:marRight w:val="0"/>
              <w:marTop w:val="0"/>
              <w:marBottom w:val="0"/>
              <w:divBdr>
                <w:top w:val="none" w:sz="0" w:space="0" w:color="auto"/>
                <w:left w:val="none" w:sz="0" w:space="0" w:color="auto"/>
                <w:bottom w:val="none" w:sz="0" w:space="0" w:color="auto"/>
                <w:right w:val="none" w:sz="0" w:space="0" w:color="auto"/>
              </w:divBdr>
            </w:div>
            <w:div w:id="665132587">
              <w:marLeft w:val="0"/>
              <w:marRight w:val="0"/>
              <w:marTop w:val="0"/>
              <w:marBottom w:val="0"/>
              <w:divBdr>
                <w:top w:val="none" w:sz="0" w:space="0" w:color="auto"/>
                <w:left w:val="none" w:sz="0" w:space="0" w:color="auto"/>
                <w:bottom w:val="none" w:sz="0" w:space="0" w:color="auto"/>
                <w:right w:val="none" w:sz="0" w:space="0" w:color="auto"/>
              </w:divBdr>
            </w:div>
            <w:div w:id="1645354520">
              <w:marLeft w:val="0"/>
              <w:marRight w:val="0"/>
              <w:marTop w:val="0"/>
              <w:marBottom w:val="0"/>
              <w:divBdr>
                <w:top w:val="none" w:sz="0" w:space="0" w:color="auto"/>
                <w:left w:val="none" w:sz="0" w:space="0" w:color="auto"/>
                <w:bottom w:val="none" w:sz="0" w:space="0" w:color="auto"/>
                <w:right w:val="none" w:sz="0" w:space="0" w:color="auto"/>
              </w:divBdr>
            </w:div>
          </w:divsChild>
        </w:div>
        <w:div w:id="74360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Anna Peteva</cp:lastModifiedBy>
  <cp:revision>5</cp:revision>
  <dcterms:created xsi:type="dcterms:W3CDTF">2017-11-02T15:25:00Z</dcterms:created>
  <dcterms:modified xsi:type="dcterms:W3CDTF">2017-11-08T15:26:00Z</dcterms:modified>
</cp:coreProperties>
</file>